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sz w:val="28"/>
          <w:szCs w:val="28"/>
        </w:rPr>
        <w:t>申请参拍由贵公司于202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none"/>
          <w:lang w:val="en-US" w:eastAsia="zh-CN"/>
        </w:rPr>
        <w:t>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位于宁波市保税区南区、西区等共计5处厂房和位于海曙区柳庄巷68弄6号（1-13）商业用房及6个车位租赁权的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厂房、商铺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厂房、商铺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租赁权竞买须知》和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或协议》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及附件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对本次竞拍标的的竞买条件及要求、标的其他特别约定和说明等约定，已全面</w:t>
      </w:r>
      <w:r>
        <w:rPr>
          <w:rFonts w:hint="eastAsia" w:ascii="宋体" w:hAnsi="宋体"/>
          <w:sz w:val="28"/>
          <w:szCs w:val="28"/>
        </w:rPr>
        <w:t>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Tk2ODU1MTExYmViMzM0NDU5YzNlNWQ3MjQ0MzgifQ=="/>
  </w:docVars>
  <w:rsids>
    <w:rsidRoot w:val="58625FFC"/>
    <w:rsid w:val="32FD49B4"/>
    <w:rsid w:val="586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2023-10-09T01:12:00Z</dcterms:created>
  <dc:creator>晓拂</dc:creator>
  <cp:lastModifiedBy>晓拂</cp:lastModifiedBy>
  <dcterms:modified xsi:type="dcterms:W3CDTF">2023-10-09T01:15:55Z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C49426566E394729A5A0FC0818AAAFE3_11</vt:lpwstr>
  </property>
</Properties>
</file>