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right="964"/>
        <w:jc w:val="right"/>
        <w:rPr>
          <w:rFonts w:ascii="宋体" w:hAnsi="宋体" w:cs="宋体"/>
          <w:b/>
          <w:kern w:val="0"/>
          <w:sz w:val="24"/>
        </w:rPr>
      </w:pPr>
      <w:r>
        <w:rPr>
          <w:rFonts w:hint="eastAsia" w:ascii="宋体" w:hAnsi="宋体" w:cs="宋体"/>
          <w:b/>
          <w:kern w:val="0"/>
          <w:sz w:val="24"/>
        </w:rPr>
        <w:t>合同编号：</w:t>
      </w:r>
    </w:p>
    <w:p>
      <w:pPr>
        <w:spacing w:line="500" w:lineRule="exact"/>
        <w:ind w:firstLine="275" w:firstLineChars="98"/>
        <w:jc w:val="center"/>
        <w:rPr>
          <w:rFonts w:ascii="宋体" w:hAnsi="宋体" w:cs="宋体"/>
          <w:b/>
          <w:kern w:val="0"/>
          <w:sz w:val="28"/>
          <w:szCs w:val="28"/>
        </w:rPr>
      </w:pPr>
      <w:r>
        <w:rPr>
          <w:rFonts w:hint="eastAsia" w:ascii="宋体" w:hAnsi="宋体" w:cs="宋体"/>
          <w:b/>
          <w:kern w:val="0"/>
          <w:sz w:val="28"/>
          <w:szCs w:val="28"/>
        </w:rPr>
        <w:t>202</w:t>
      </w:r>
      <w:r>
        <w:rPr>
          <w:rFonts w:hint="eastAsia" w:ascii="宋体" w:hAnsi="宋体" w:cs="宋体"/>
          <w:b/>
          <w:kern w:val="0"/>
          <w:sz w:val="28"/>
          <w:szCs w:val="28"/>
          <w:lang w:val="en-US" w:eastAsia="zh-CN"/>
        </w:rPr>
        <w:t>2</w:t>
      </w:r>
      <w:r>
        <w:rPr>
          <w:rFonts w:hint="eastAsia" w:ascii="宋体" w:hAnsi="宋体" w:cs="宋体"/>
          <w:b/>
          <w:kern w:val="0"/>
          <w:sz w:val="28"/>
          <w:szCs w:val="28"/>
        </w:rPr>
        <w:t>-202</w:t>
      </w:r>
      <w:r>
        <w:rPr>
          <w:rFonts w:hint="eastAsia" w:ascii="宋体" w:hAnsi="宋体" w:cs="宋体"/>
          <w:b/>
          <w:kern w:val="0"/>
          <w:sz w:val="28"/>
          <w:szCs w:val="28"/>
          <w:lang w:val="en-US" w:eastAsia="zh-CN"/>
        </w:rPr>
        <w:t>3</w:t>
      </w:r>
      <w:r>
        <w:rPr>
          <w:rFonts w:hint="eastAsia" w:ascii="宋体" w:hAnsi="宋体" w:cs="宋体"/>
          <w:b/>
          <w:kern w:val="0"/>
          <w:sz w:val="28"/>
          <w:szCs w:val="28"/>
        </w:rPr>
        <w:t>年</w:t>
      </w:r>
      <w:r>
        <w:rPr>
          <w:rFonts w:ascii="宋体" w:hAnsi="宋体" w:cs="宋体"/>
          <w:b/>
          <w:kern w:val="0"/>
          <w:sz w:val="28"/>
          <w:szCs w:val="28"/>
        </w:rPr>
        <w:t>舟山烟草</w:t>
      </w:r>
      <w:r>
        <w:rPr>
          <w:rFonts w:hint="eastAsia" w:ascii="宋体" w:hAnsi="宋体" w:cs="宋体"/>
          <w:b/>
          <w:kern w:val="0"/>
          <w:sz w:val="28"/>
          <w:szCs w:val="28"/>
        </w:rPr>
        <w:t>卷烟包装箱出售合同</w:t>
      </w:r>
    </w:p>
    <w:p>
      <w:pPr>
        <w:spacing w:line="560" w:lineRule="exact"/>
        <w:jc w:val="left"/>
        <w:rPr>
          <w:rFonts w:ascii="宋体" w:hAnsi="宋体"/>
          <w:sz w:val="28"/>
          <w:szCs w:val="28"/>
        </w:rPr>
      </w:pPr>
    </w:p>
    <w:p>
      <w:pPr>
        <w:spacing w:line="560" w:lineRule="exact"/>
        <w:jc w:val="left"/>
        <w:rPr>
          <w:rFonts w:ascii="宋体" w:hAnsi="宋体"/>
          <w:b/>
          <w:sz w:val="24"/>
          <w:szCs w:val="21"/>
          <w:u w:val="single"/>
        </w:rPr>
      </w:pPr>
      <w:r>
        <w:rPr>
          <w:rFonts w:hint="eastAsia" w:ascii="宋体" w:hAnsi="宋体"/>
          <w:b/>
          <w:sz w:val="24"/>
          <w:szCs w:val="21"/>
        </w:rPr>
        <w:t>甲方：</w:t>
      </w:r>
      <w:r>
        <w:rPr>
          <w:rFonts w:hint="eastAsia" w:ascii="宋体" w:hAnsi="宋体"/>
          <w:b/>
          <w:sz w:val="24"/>
          <w:szCs w:val="21"/>
          <w:u w:val="single"/>
        </w:rPr>
        <w:t>浙江省烟草公司舟山市公司</w:t>
      </w:r>
    </w:p>
    <w:p>
      <w:pPr>
        <w:spacing w:line="560" w:lineRule="exact"/>
        <w:jc w:val="left"/>
        <w:rPr>
          <w:rFonts w:hint="default" w:ascii="宋体" w:hAnsi="宋体" w:eastAsia="宋体"/>
          <w:sz w:val="24"/>
          <w:szCs w:val="21"/>
          <w:lang w:val="en-US" w:eastAsia="zh-CN"/>
        </w:rPr>
      </w:pPr>
      <w:r>
        <w:rPr>
          <w:rFonts w:hint="eastAsia" w:ascii="宋体" w:hAnsi="宋体"/>
          <w:b/>
          <w:sz w:val="24"/>
          <w:szCs w:val="21"/>
        </w:rPr>
        <w:t>乙方：</w:t>
      </w:r>
      <w:r>
        <w:rPr>
          <w:rFonts w:hint="eastAsia" w:ascii="宋体" w:hAnsi="宋体"/>
          <w:b/>
          <w:sz w:val="24"/>
          <w:szCs w:val="21"/>
          <w:u w:val="single"/>
          <w:lang w:val="en-US" w:eastAsia="zh-CN"/>
        </w:rPr>
        <w:t xml:space="preserve">                        </w:t>
      </w:r>
    </w:p>
    <w:p>
      <w:pPr>
        <w:topLinePunct/>
        <w:spacing w:line="360" w:lineRule="auto"/>
        <w:ind w:firstLine="480" w:firstLineChars="200"/>
        <w:rPr>
          <w:rFonts w:ascii="宋体" w:hAnsi="宋体"/>
          <w:sz w:val="24"/>
          <w:szCs w:val="21"/>
        </w:rPr>
      </w:pPr>
      <w:r>
        <w:rPr>
          <w:rFonts w:hint="eastAsia" w:ascii="宋体" w:hAnsi="宋体"/>
          <w:sz w:val="24"/>
          <w:szCs w:val="21"/>
        </w:rPr>
        <w:t>因甲方出售卷烟</w:t>
      </w:r>
      <w:r>
        <w:rPr>
          <w:rFonts w:hint="eastAsia" w:ascii="宋体" w:hAnsi="宋体"/>
          <w:sz w:val="24"/>
        </w:rPr>
        <w:t>包装</w:t>
      </w:r>
      <w:r>
        <w:rPr>
          <w:rFonts w:hint="eastAsia" w:ascii="宋体" w:hAnsi="宋体"/>
          <w:sz w:val="24"/>
          <w:szCs w:val="21"/>
        </w:rPr>
        <w:t>箱给乙方，为明确双方的权利义务关系，经甲、乙双方协商一致，签订本合同，以资共同遵守。</w:t>
      </w:r>
    </w:p>
    <w:p>
      <w:pPr>
        <w:topLinePunct/>
        <w:spacing w:line="360" w:lineRule="auto"/>
        <w:ind w:firstLine="480" w:firstLineChars="200"/>
        <w:rPr>
          <w:rFonts w:ascii="宋体" w:hAnsi="宋体"/>
          <w:sz w:val="24"/>
          <w:szCs w:val="21"/>
        </w:rPr>
      </w:pPr>
      <w:r>
        <w:rPr>
          <w:rFonts w:hint="eastAsia" w:ascii="宋体" w:hAnsi="宋体"/>
          <w:sz w:val="24"/>
          <w:szCs w:val="21"/>
        </w:rPr>
        <w:t>一、本合同期限为壹年，自</w:t>
      </w:r>
      <w:r>
        <w:rPr>
          <w:rFonts w:hint="eastAsia" w:ascii="宋体" w:hAnsi="宋体"/>
          <w:b/>
          <w:sz w:val="24"/>
          <w:szCs w:val="21"/>
          <w:u w:val="single"/>
        </w:rPr>
        <w:t>合同签订之日起一年整</w:t>
      </w:r>
      <w:r>
        <w:rPr>
          <w:rFonts w:hint="eastAsia" w:ascii="宋体" w:hAnsi="宋体"/>
          <w:sz w:val="24"/>
          <w:szCs w:val="21"/>
        </w:rPr>
        <w:t>。</w:t>
      </w:r>
    </w:p>
    <w:p>
      <w:pPr>
        <w:topLinePunct/>
        <w:spacing w:line="360" w:lineRule="auto"/>
        <w:ind w:firstLine="480" w:firstLineChars="200"/>
        <w:rPr>
          <w:rFonts w:ascii="宋体" w:hAnsi="宋体"/>
          <w:sz w:val="24"/>
          <w:szCs w:val="21"/>
        </w:rPr>
      </w:pPr>
      <w:r>
        <w:rPr>
          <w:rFonts w:hint="eastAsia" w:ascii="宋体" w:hAnsi="宋体"/>
          <w:sz w:val="24"/>
          <w:szCs w:val="21"/>
        </w:rPr>
        <w:t>二、出售价格为甲方的卷烟</w:t>
      </w:r>
      <w:r>
        <w:rPr>
          <w:rFonts w:hint="eastAsia" w:ascii="宋体" w:hAnsi="宋体"/>
          <w:sz w:val="24"/>
        </w:rPr>
        <w:t>包装</w:t>
      </w:r>
      <w:r>
        <w:rPr>
          <w:rFonts w:hint="eastAsia" w:ascii="宋体" w:hAnsi="宋体"/>
          <w:sz w:val="24"/>
          <w:szCs w:val="21"/>
        </w:rPr>
        <w:t>箱</w:t>
      </w:r>
      <w:r>
        <w:rPr>
          <w:rFonts w:hint="eastAsia" w:ascii="宋体" w:hAnsi="宋体"/>
          <w:b/>
          <w:sz w:val="24"/>
          <w:szCs w:val="21"/>
        </w:rPr>
        <w:t>每只为人民币</w:t>
      </w:r>
      <w:r>
        <w:rPr>
          <w:rFonts w:hint="eastAsia" w:ascii="宋体" w:hAnsi="宋体"/>
          <w:b/>
          <w:sz w:val="24"/>
          <w:szCs w:val="21"/>
          <w:u w:val="single"/>
          <w:lang w:val="en-US" w:eastAsia="zh-CN"/>
        </w:rPr>
        <w:t xml:space="preserve">        </w:t>
      </w:r>
      <w:r>
        <w:rPr>
          <w:rFonts w:hint="eastAsia" w:ascii="宋体" w:hAnsi="宋体"/>
          <w:b/>
          <w:sz w:val="24"/>
          <w:szCs w:val="21"/>
        </w:rPr>
        <w:t>（¥</w:t>
      </w:r>
      <w:r>
        <w:rPr>
          <w:rFonts w:hint="eastAsia" w:ascii="宋体" w:hAnsi="宋体"/>
          <w:b/>
          <w:sz w:val="24"/>
          <w:szCs w:val="21"/>
          <w:u w:val="single"/>
          <w:lang w:val="en-US" w:eastAsia="zh-CN"/>
        </w:rPr>
        <w:t xml:space="preserve">    </w:t>
      </w:r>
      <w:r>
        <w:rPr>
          <w:rFonts w:ascii="宋体" w:hAnsi="宋体"/>
          <w:b/>
          <w:sz w:val="24"/>
          <w:szCs w:val="21"/>
        </w:rPr>
        <w:t>/只</w:t>
      </w:r>
      <w:r>
        <w:rPr>
          <w:rFonts w:hint="eastAsia" w:ascii="宋体" w:hAnsi="宋体"/>
          <w:b/>
          <w:sz w:val="24"/>
          <w:szCs w:val="21"/>
        </w:rPr>
        <w:t>）</w:t>
      </w:r>
      <w:r>
        <w:rPr>
          <w:rFonts w:hint="eastAsia" w:ascii="宋体" w:hAnsi="宋体"/>
          <w:sz w:val="24"/>
          <w:szCs w:val="21"/>
        </w:rPr>
        <w:t>，异型烟</w:t>
      </w:r>
      <w:r>
        <w:rPr>
          <w:rFonts w:hint="eastAsia" w:ascii="宋体" w:hAnsi="宋体"/>
          <w:sz w:val="24"/>
        </w:rPr>
        <w:t>包装</w:t>
      </w:r>
      <w:r>
        <w:rPr>
          <w:rFonts w:hint="eastAsia" w:ascii="宋体" w:hAnsi="宋体"/>
          <w:sz w:val="24"/>
          <w:szCs w:val="21"/>
        </w:rPr>
        <w:t>箱每</w:t>
      </w:r>
      <w:r>
        <w:rPr>
          <w:rFonts w:ascii="宋体" w:hAnsi="宋体"/>
          <w:sz w:val="24"/>
          <w:szCs w:val="21"/>
        </w:rPr>
        <w:t>2只折算成1只标准箱。</w:t>
      </w:r>
      <w:r>
        <w:rPr>
          <w:rFonts w:hint="eastAsia" w:ascii="宋体" w:hAnsi="宋体"/>
          <w:sz w:val="24"/>
        </w:rPr>
        <w:t>包装</w:t>
      </w:r>
      <w:r>
        <w:rPr>
          <w:rFonts w:hint="eastAsia" w:ascii="宋体" w:hAnsi="宋体"/>
          <w:sz w:val="24"/>
          <w:szCs w:val="21"/>
        </w:rPr>
        <w:t>箱数量根据甲方的生产经营状况确定。</w:t>
      </w:r>
    </w:p>
    <w:p>
      <w:pPr>
        <w:topLinePunct/>
        <w:spacing w:line="360" w:lineRule="auto"/>
        <w:ind w:firstLine="480" w:firstLineChars="200"/>
        <w:rPr>
          <w:rFonts w:ascii="宋体" w:hAnsi="宋体"/>
          <w:sz w:val="24"/>
          <w:szCs w:val="21"/>
        </w:rPr>
      </w:pPr>
      <w:r>
        <w:rPr>
          <w:rFonts w:hint="eastAsia" w:ascii="宋体" w:hAnsi="宋体"/>
          <w:sz w:val="24"/>
          <w:szCs w:val="21"/>
        </w:rPr>
        <w:t>因甲方行业上级要求，导致实际可回收数量发生变化的，以实际为准。</w:t>
      </w:r>
    </w:p>
    <w:p>
      <w:pPr>
        <w:topLinePunct/>
        <w:spacing w:line="360" w:lineRule="auto"/>
        <w:ind w:firstLine="480" w:firstLineChars="200"/>
        <w:rPr>
          <w:rFonts w:ascii="宋体" w:hAnsi="宋体"/>
          <w:sz w:val="24"/>
          <w:szCs w:val="21"/>
        </w:rPr>
      </w:pPr>
      <w:r>
        <w:rPr>
          <w:rFonts w:hint="eastAsia" w:ascii="宋体" w:hAnsi="宋体"/>
          <w:sz w:val="24"/>
          <w:szCs w:val="21"/>
        </w:rPr>
        <w:t>三、乙方必须按照甲方要求的时间提供</w:t>
      </w:r>
      <w:r>
        <w:rPr>
          <w:rFonts w:hint="eastAsia" w:ascii="宋体" w:hAnsi="宋体"/>
          <w:b/>
          <w:sz w:val="24"/>
          <w:szCs w:val="21"/>
        </w:rPr>
        <w:t>厢式货车</w:t>
      </w:r>
      <w:r>
        <w:rPr>
          <w:rFonts w:hint="eastAsia" w:ascii="宋体" w:hAnsi="宋体"/>
          <w:sz w:val="24"/>
          <w:szCs w:val="21"/>
        </w:rPr>
        <w:t>并及时提货，乙方在接到甲方提货通知后，</w:t>
      </w:r>
      <w:r>
        <w:rPr>
          <w:rFonts w:ascii="宋体" w:hAnsi="宋体"/>
          <w:sz w:val="24"/>
          <w:szCs w:val="21"/>
          <w:u w:val="single"/>
        </w:rPr>
        <w:t>3</w:t>
      </w:r>
      <w:r>
        <w:rPr>
          <w:rFonts w:hint="eastAsia" w:ascii="宋体" w:hAnsi="宋体"/>
          <w:sz w:val="24"/>
          <w:szCs w:val="21"/>
        </w:rPr>
        <w:t>个工作日内完成至少</w:t>
      </w:r>
      <w:r>
        <w:rPr>
          <w:rFonts w:ascii="宋体" w:hAnsi="宋体"/>
          <w:sz w:val="24"/>
          <w:szCs w:val="21"/>
          <w:u w:val="single"/>
        </w:rPr>
        <w:t>8000</w:t>
      </w:r>
      <w:r>
        <w:rPr>
          <w:rFonts w:hint="eastAsia" w:ascii="宋体" w:hAnsi="宋体"/>
          <w:sz w:val="24"/>
          <w:szCs w:val="21"/>
        </w:rPr>
        <w:t>只</w:t>
      </w:r>
      <w:r>
        <w:rPr>
          <w:rFonts w:hint="eastAsia" w:ascii="宋体" w:hAnsi="宋体"/>
          <w:sz w:val="24"/>
        </w:rPr>
        <w:t>包装</w:t>
      </w:r>
      <w:r>
        <w:rPr>
          <w:rFonts w:hint="eastAsia" w:ascii="宋体" w:hAnsi="宋体"/>
          <w:sz w:val="24"/>
          <w:szCs w:val="21"/>
        </w:rPr>
        <w:t>箱的提货。</w:t>
      </w:r>
    </w:p>
    <w:p>
      <w:pPr>
        <w:topLinePunct/>
        <w:spacing w:line="360" w:lineRule="auto"/>
        <w:ind w:firstLine="480" w:firstLineChars="200"/>
        <w:rPr>
          <w:rFonts w:ascii="宋体" w:hAnsi="宋体"/>
          <w:sz w:val="24"/>
          <w:szCs w:val="21"/>
        </w:rPr>
      </w:pPr>
      <w:r>
        <w:rPr>
          <w:rFonts w:hint="eastAsia" w:ascii="宋体" w:hAnsi="宋体"/>
          <w:sz w:val="24"/>
          <w:szCs w:val="21"/>
        </w:rPr>
        <w:t>每次取运</w:t>
      </w:r>
      <w:r>
        <w:rPr>
          <w:rFonts w:hint="eastAsia" w:ascii="宋体" w:hAnsi="宋体"/>
          <w:sz w:val="24"/>
        </w:rPr>
        <w:t>包装</w:t>
      </w:r>
      <w:r>
        <w:rPr>
          <w:rFonts w:hint="eastAsia" w:ascii="宋体" w:hAnsi="宋体"/>
          <w:sz w:val="24"/>
          <w:szCs w:val="21"/>
        </w:rPr>
        <w:t>箱前，乙方应联系甲方确认收购</w:t>
      </w:r>
      <w:r>
        <w:rPr>
          <w:rFonts w:hint="eastAsia" w:ascii="宋体" w:hAnsi="宋体"/>
          <w:sz w:val="24"/>
        </w:rPr>
        <w:t>包装</w:t>
      </w:r>
      <w:r>
        <w:rPr>
          <w:rFonts w:hint="eastAsia" w:ascii="宋体" w:hAnsi="宋体"/>
          <w:sz w:val="24"/>
          <w:szCs w:val="21"/>
        </w:rPr>
        <w:t>箱的数量、金额后，将</w:t>
      </w:r>
      <w:r>
        <w:rPr>
          <w:rFonts w:hint="eastAsia" w:ascii="宋体" w:hAnsi="宋体"/>
          <w:sz w:val="24"/>
        </w:rPr>
        <w:t>包装</w:t>
      </w:r>
      <w:r>
        <w:rPr>
          <w:rFonts w:hint="eastAsia" w:ascii="宋体" w:hAnsi="宋体"/>
          <w:sz w:val="24"/>
          <w:szCs w:val="21"/>
        </w:rPr>
        <w:t>箱收购款汇入甲方银行帐户（单位名称：浙江省烟草公司舟山市公司，开户行：舟山市工行营业部，帐号：</w:t>
      </w:r>
      <w:r>
        <w:rPr>
          <w:rFonts w:ascii="宋体" w:hAnsi="宋体"/>
          <w:sz w:val="24"/>
          <w:szCs w:val="21"/>
        </w:rPr>
        <w:t>1206020109025001582</w:t>
      </w:r>
      <w:r>
        <w:rPr>
          <w:rFonts w:hint="eastAsia" w:ascii="宋体" w:hAnsi="宋体" w:cs="宋体"/>
          <w:kern w:val="0"/>
          <w:sz w:val="24"/>
          <w:szCs w:val="21"/>
          <w:lang w:val="zh-CN"/>
        </w:rPr>
        <w:t>）。</w:t>
      </w:r>
      <w:r>
        <w:rPr>
          <w:rFonts w:hint="eastAsia" w:ascii="宋体" w:hAnsi="宋体"/>
          <w:sz w:val="24"/>
          <w:szCs w:val="21"/>
        </w:rPr>
        <w:t>乙方凭银行交款单到甲方财务部门，经核对无误后，财务部门开具发票，乙方凭发票前往甲方配送中心（浙江省舟山市定海区临城街道定沈路</w:t>
      </w:r>
      <w:r>
        <w:rPr>
          <w:rFonts w:ascii="宋体" w:hAnsi="宋体"/>
          <w:sz w:val="24"/>
          <w:szCs w:val="21"/>
        </w:rPr>
        <w:t>616号）提货。</w:t>
      </w:r>
    </w:p>
    <w:p>
      <w:pPr>
        <w:topLinePunct/>
        <w:spacing w:line="360" w:lineRule="auto"/>
        <w:ind w:firstLine="480" w:firstLineChars="200"/>
        <w:rPr>
          <w:rFonts w:ascii="宋体" w:hAnsi="宋体"/>
          <w:sz w:val="24"/>
          <w:szCs w:val="21"/>
        </w:rPr>
      </w:pPr>
      <w:r>
        <w:rPr>
          <w:rFonts w:hint="eastAsia" w:ascii="宋体" w:hAnsi="宋体"/>
          <w:sz w:val="24"/>
          <w:szCs w:val="21"/>
        </w:rPr>
        <w:t>四、卷烟</w:t>
      </w:r>
      <w:r>
        <w:rPr>
          <w:rFonts w:hint="eastAsia" w:ascii="宋体" w:hAnsi="宋体"/>
          <w:sz w:val="24"/>
        </w:rPr>
        <w:t>包装</w:t>
      </w:r>
      <w:r>
        <w:rPr>
          <w:rFonts w:hint="eastAsia" w:ascii="宋体" w:hAnsi="宋体"/>
          <w:sz w:val="24"/>
          <w:szCs w:val="21"/>
        </w:rPr>
        <w:t>箱的运输工具、装卸人员及运输、装卸费用由乙方自行解决。在卷烟</w:t>
      </w:r>
      <w:r>
        <w:rPr>
          <w:rFonts w:hint="eastAsia" w:ascii="宋体" w:hAnsi="宋体"/>
          <w:sz w:val="24"/>
        </w:rPr>
        <w:t>包装</w:t>
      </w:r>
      <w:r>
        <w:rPr>
          <w:rFonts w:hint="eastAsia" w:ascii="宋体" w:hAnsi="宋体"/>
          <w:sz w:val="24"/>
          <w:szCs w:val="21"/>
        </w:rPr>
        <w:t>箱运输、装卸过程中出现的一切安全事故，均由乙方自行解决，甲方不承担任何责任。</w:t>
      </w:r>
    </w:p>
    <w:p>
      <w:pPr>
        <w:topLinePunct/>
        <w:spacing w:line="360" w:lineRule="auto"/>
        <w:ind w:firstLine="480" w:firstLineChars="200"/>
        <w:rPr>
          <w:rFonts w:ascii="宋体" w:hAnsi="宋体"/>
          <w:sz w:val="24"/>
          <w:szCs w:val="21"/>
        </w:rPr>
      </w:pPr>
      <w:r>
        <w:rPr>
          <w:rFonts w:hint="eastAsia" w:ascii="宋体" w:hAnsi="宋体"/>
          <w:sz w:val="24"/>
          <w:szCs w:val="21"/>
        </w:rPr>
        <w:t>五、甲方负责在提货周期内将拟出售的卷烟</w:t>
      </w:r>
      <w:r>
        <w:rPr>
          <w:rFonts w:hint="eastAsia" w:ascii="宋体" w:hAnsi="宋体"/>
          <w:sz w:val="24"/>
        </w:rPr>
        <w:t>包装</w:t>
      </w:r>
      <w:r>
        <w:rPr>
          <w:rFonts w:hint="eastAsia" w:ascii="宋体" w:hAnsi="宋体"/>
          <w:sz w:val="24"/>
          <w:szCs w:val="21"/>
        </w:rPr>
        <w:t>箱堆放整齐，以便乙方搬运。</w:t>
      </w:r>
    </w:p>
    <w:p>
      <w:pPr>
        <w:topLinePunct/>
        <w:spacing w:line="360" w:lineRule="auto"/>
        <w:ind w:firstLine="480" w:firstLineChars="200"/>
        <w:rPr>
          <w:rFonts w:ascii="宋体" w:hAnsi="宋体"/>
          <w:sz w:val="24"/>
          <w:szCs w:val="21"/>
        </w:rPr>
      </w:pPr>
      <w:r>
        <w:rPr>
          <w:rFonts w:hint="eastAsia" w:ascii="宋体" w:hAnsi="宋体"/>
          <w:sz w:val="24"/>
          <w:szCs w:val="21"/>
        </w:rPr>
        <w:t>六、乙方在本合同期限内须交付甲方人民币</w:t>
      </w:r>
      <w:r>
        <w:rPr>
          <w:rFonts w:hint="eastAsia" w:ascii="宋体" w:hAnsi="宋体"/>
          <w:sz w:val="24"/>
          <w:szCs w:val="21"/>
          <w:u w:val="single"/>
          <w:lang w:val="en-US" w:eastAsia="zh-CN"/>
        </w:rPr>
        <w:t xml:space="preserve">      </w:t>
      </w:r>
      <w:r>
        <w:rPr>
          <w:rFonts w:hint="eastAsia" w:ascii="宋体" w:hAnsi="宋体"/>
          <w:sz w:val="24"/>
          <w:szCs w:val="21"/>
          <w:u w:val="single"/>
        </w:rPr>
        <w:t>元</w:t>
      </w:r>
      <w:r>
        <w:rPr>
          <w:rFonts w:hint="eastAsia" w:ascii="宋体" w:hAnsi="宋体"/>
          <w:sz w:val="24"/>
          <w:szCs w:val="21"/>
        </w:rPr>
        <w:t>（¥</w:t>
      </w:r>
      <w:r>
        <w:rPr>
          <w:rFonts w:hint="eastAsia" w:ascii="宋体" w:hAnsi="宋体"/>
          <w:sz w:val="24"/>
          <w:szCs w:val="21"/>
          <w:lang w:val="en-US" w:eastAsia="zh-CN"/>
        </w:rPr>
        <w:t xml:space="preserve">     </w:t>
      </w:r>
      <w:bookmarkStart w:id="0" w:name="_GoBack"/>
      <w:bookmarkEnd w:id="0"/>
      <w:r>
        <w:rPr>
          <w:rFonts w:ascii="宋体" w:hAnsi="宋体"/>
          <w:sz w:val="24"/>
          <w:szCs w:val="21"/>
        </w:rPr>
        <w:t>）作为履约保证金（不计息）在本合同签订前支付。在乙方合同履行完成后，甲方无息退还乙方的履约保证金。</w:t>
      </w:r>
    </w:p>
    <w:p>
      <w:pPr>
        <w:topLinePunct/>
        <w:spacing w:line="360" w:lineRule="auto"/>
        <w:ind w:firstLine="480" w:firstLineChars="200"/>
        <w:rPr>
          <w:rFonts w:ascii="宋体" w:hAnsi="宋体"/>
          <w:sz w:val="24"/>
          <w:szCs w:val="21"/>
        </w:rPr>
      </w:pPr>
      <w:r>
        <w:rPr>
          <w:rFonts w:hint="eastAsia" w:ascii="宋体" w:hAnsi="宋体"/>
          <w:sz w:val="24"/>
          <w:szCs w:val="21"/>
        </w:rPr>
        <w:t>在合同有效期内，如乙方擅自解除合同，履约保证金不予退还。乙方不按甲方通知的时间、数量从甲方指定交货地点提货的，视为违约，违反一次扣除履约保证金</w:t>
      </w:r>
      <w:r>
        <w:rPr>
          <w:rFonts w:ascii="宋体" w:hAnsi="宋体"/>
          <w:sz w:val="24"/>
          <w:szCs w:val="21"/>
        </w:rPr>
        <w:t>5％，</w:t>
      </w:r>
      <w:r>
        <w:rPr>
          <w:rFonts w:hint="eastAsia" w:ascii="宋体" w:hAnsi="宋体"/>
          <w:sz w:val="24"/>
          <w:szCs w:val="21"/>
        </w:rPr>
        <w:t>3从履约保证金中扣除，不足扣除部分另行缴纳</w:t>
      </w:r>
      <w:r>
        <w:rPr>
          <w:rFonts w:ascii="宋体" w:hAnsi="宋体"/>
          <w:sz w:val="24"/>
          <w:szCs w:val="21"/>
        </w:rPr>
        <w:t>。</w:t>
      </w:r>
    </w:p>
    <w:p>
      <w:pPr>
        <w:topLinePunct/>
        <w:spacing w:line="360" w:lineRule="auto"/>
        <w:ind w:firstLine="480" w:firstLineChars="200"/>
        <w:rPr>
          <w:rFonts w:ascii="宋体" w:hAnsi="宋体"/>
          <w:sz w:val="24"/>
          <w:szCs w:val="21"/>
        </w:rPr>
      </w:pPr>
      <w:r>
        <w:rPr>
          <w:rFonts w:hint="eastAsia" w:ascii="宋体" w:hAnsi="宋体"/>
          <w:sz w:val="24"/>
          <w:szCs w:val="21"/>
        </w:rPr>
        <w:t>七、乙方承诺将收购的卷烟</w:t>
      </w:r>
      <w:r>
        <w:rPr>
          <w:rFonts w:hint="eastAsia" w:ascii="宋体" w:hAnsi="宋体"/>
          <w:sz w:val="24"/>
        </w:rPr>
        <w:t>包装</w:t>
      </w:r>
      <w:r>
        <w:rPr>
          <w:rFonts w:hint="eastAsia" w:ascii="宋体" w:hAnsi="宋体"/>
          <w:sz w:val="24"/>
          <w:szCs w:val="21"/>
        </w:rPr>
        <w:t>箱合法利用，</w:t>
      </w:r>
      <w:r>
        <w:rPr>
          <w:rFonts w:hint="eastAsia" w:ascii="宋体" w:hAnsi="宋体"/>
          <w:sz w:val="24"/>
        </w:rPr>
        <w:t>包装</w:t>
      </w:r>
      <w:r>
        <w:rPr>
          <w:rFonts w:hint="eastAsia" w:ascii="宋体" w:hAnsi="宋体"/>
          <w:sz w:val="24"/>
          <w:szCs w:val="21"/>
        </w:rPr>
        <w:t>箱出售后出现的任何问题由乙方自行解决。若乙方有不法行为，甲方可以没收乙方履约保证金并解除合同。</w:t>
      </w:r>
    </w:p>
    <w:p>
      <w:pPr>
        <w:topLinePunct/>
        <w:spacing w:line="360" w:lineRule="auto"/>
        <w:ind w:firstLine="480" w:firstLineChars="200"/>
        <w:rPr>
          <w:rFonts w:hint="eastAsia" w:ascii="宋体" w:hAnsi="宋体"/>
          <w:sz w:val="24"/>
          <w:szCs w:val="21"/>
        </w:rPr>
      </w:pPr>
      <w:r>
        <w:rPr>
          <w:rFonts w:hint="eastAsia" w:ascii="宋体" w:hAnsi="宋体"/>
          <w:sz w:val="24"/>
          <w:szCs w:val="21"/>
        </w:rPr>
        <w:t>八、乙方应遵守甲方的现场管理要求，如乙方违反甲方现场管理要求，甲方有权提出整改，直至没收乙方履约保证金并解除合同。</w:t>
      </w:r>
    </w:p>
    <w:p>
      <w:pPr>
        <w:topLinePunct/>
        <w:spacing w:line="360" w:lineRule="auto"/>
        <w:ind w:firstLine="480" w:firstLineChars="200"/>
        <w:rPr>
          <w:rFonts w:hint="eastAsia" w:ascii="宋体" w:hAnsi="宋体" w:eastAsia="宋体"/>
          <w:sz w:val="24"/>
          <w:szCs w:val="21"/>
        </w:rPr>
      </w:pPr>
      <w:r>
        <w:rPr>
          <w:rFonts w:hint="eastAsia" w:ascii="宋体" w:hAnsi="宋体" w:eastAsia="宋体"/>
          <w:sz w:val="24"/>
          <w:szCs w:val="21"/>
          <w:lang w:eastAsia="zh-CN"/>
        </w:rPr>
        <w:t>九、</w:t>
      </w:r>
      <w:r>
        <w:rPr>
          <w:rFonts w:hint="eastAsia" w:ascii="宋体" w:hAnsi="宋体" w:eastAsia="宋体"/>
          <w:sz w:val="24"/>
          <w:szCs w:val="21"/>
        </w:rPr>
        <w:t>再评价退出机制</w:t>
      </w:r>
    </w:p>
    <w:p>
      <w:pPr>
        <w:topLinePunct/>
        <w:spacing w:line="360" w:lineRule="auto"/>
        <w:ind w:firstLine="480" w:firstLineChars="200"/>
        <w:rPr>
          <w:rFonts w:hint="eastAsia" w:ascii="宋体" w:hAnsi="宋体" w:eastAsia="宋体"/>
          <w:sz w:val="24"/>
          <w:szCs w:val="21"/>
        </w:rPr>
      </w:pPr>
      <w:r>
        <w:rPr>
          <w:rFonts w:hint="eastAsia" w:ascii="宋体" w:hAnsi="宋体" w:eastAsia="宋体"/>
          <w:sz w:val="24"/>
          <w:szCs w:val="21"/>
        </w:rPr>
        <w:t>合同签订后，甲方将按照《供应商履约评价表》对乙方的履约情况进行评价（见附件2）。评价结果出现不合格的，乙方将被列入浙江烟草不良行为供应商名录，甲方有权单方无条件解除具体采购合同或入围框架协议，由此产生的甲方损失，由乙方承担。乙方在两年内放弃参加舟山烟草的各项采购活动。</w:t>
      </w:r>
    </w:p>
    <w:p>
      <w:pPr>
        <w:topLinePunct/>
        <w:spacing w:line="360" w:lineRule="auto"/>
        <w:ind w:firstLine="480" w:firstLineChars="200"/>
        <w:rPr>
          <w:rFonts w:hint="eastAsia" w:ascii="宋体" w:hAnsi="宋体" w:eastAsia="宋体"/>
          <w:sz w:val="24"/>
          <w:szCs w:val="21"/>
        </w:rPr>
      </w:pPr>
      <w:r>
        <w:rPr>
          <w:rFonts w:hint="eastAsia" w:ascii="宋体" w:hAnsi="宋体" w:eastAsia="宋体"/>
          <w:sz w:val="24"/>
          <w:szCs w:val="21"/>
          <w:lang w:eastAsia="zh-CN"/>
        </w:rPr>
        <w:t>十、</w:t>
      </w:r>
      <w:r>
        <w:rPr>
          <w:rFonts w:hint="eastAsia" w:ascii="宋体" w:hAnsi="宋体" w:eastAsia="宋体"/>
          <w:sz w:val="24"/>
          <w:szCs w:val="21"/>
        </w:rPr>
        <w:t>不良行为供应商的认定</w:t>
      </w:r>
    </w:p>
    <w:p>
      <w:pPr>
        <w:topLinePunct/>
        <w:spacing w:line="360" w:lineRule="auto"/>
        <w:ind w:firstLine="480" w:firstLineChars="200"/>
        <w:rPr>
          <w:rFonts w:hint="eastAsia" w:ascii="宋体" w:hAnsi="宋体" w:eastAsia="宋体"/>
          <w:sz w:val="24"/>
          <w:szCs w:val="21"/>
        </w:rPr>
      </w:pPr>
      <w:r>
        <w:rPr>
          <w:rFonts w:hint="eastAsia" w:ascii="宋体" w:hAnsi="宋体" w:eastAsia="宋体"/>
          <w:sz w:val="24"/>
          <w:szCs w:val="21"/>
        </w:rPr>
        <w:t>供应商应遵守烟草行业供应商管理规定，发生以下情况并核实后，将被列入浙江烟草为不良行为供应商名录：</w:t>
      </w:r>
    </w:p>
    <w:p>
      <w:pPr>
        <w:topLinePunct/>
        <w:spacing w:line="360" w:lineRule="auto"/>
        <w:ind w:firstLine="480" w:firstLineChars="200"/>
        <w:rPr>
          <w:rFonts w:hint="eastAsia" w:ascii="宋体" w:hAnsi="宋体" w:eastAsia="宋体"/>
          <w:sz w:val="24"/>
          <w:szCs w:val="21"/>
        </w:rPr>
      </w:pPr>
      <w:r>
        <w:rPr>
          <w:rFonts w:hint="eastAsia" w:ascii="宋体" w:hAnsi="宋体" w:eastAsia="宋体"/>
          <w:sz w:val="24"/>
          <w:szCs w:val="21"/>
        </w:rPr>
        <w:t xml:space="preserve">（1）弄虚作假、隐瞒真实情况骗取采购供应商市场准入资格的； </w:t>
      </w:r>
    </w:p>
    <w:p>
      <w:pPr>
        <w:topLinePunct/>
        <w:spacing w:line="360" w:lineRule="auto"/>
        <w:ind w:firstLine="480" w:firstLineChars="200"/>
        <w:rPr>
          <w:rFonts w:hint="eastAsia" w:ascii="宋体" w:hAnsi="宋体" w:eastAsia="宋体"/>
          <w:sz w:val="24"/>
          <w:szCs w:val="21"/>
        </w:rPr>
      </w:pPr>
      <w:r>
        <w:rPr>
          <w:rFonts w:hint="eastAsia" w:ascii="宋体" w:hAnsi="宋体" w:eastAsia="宋体"/>
          <w:sz w:val="24"/>
          <w:szCs w:val="21"/>
        </w:rPr>
        <w:t>（2）提供虚假材料谋取中标、成交的；</w:t>
      </w:r>
    </w:p>
    <w:p>
      <w:pPr>
        <w:topLinePunct/>
        <w:spacing w:line="360" w:lineRule="auto"/>
        <w:ind w:firstLine="480" w:firstLineChars="200"/>
        <w:rPr>
          <w:rFonts w:hint="eastAsia" w:ascii="宋体" w:hAnsi="宋体" w:eastAsia="宋体"/>
          <w:sz w:val="24"/>
          <w:szCs w:val="21"/>
        </w:rPr>
      </w:pPr>
      <w:r>
        <w:rPr>
          <w:rFonts w:hint="eastAsia" w:ascii="宋体" w:hAnsi="宋体" w:eastAsia="宋体"/>
          <w:sz w:val="24"/>
          <w:szCs w:val="21"/>
        </w:rPr>
        <w:t>（3）采用不正当手段诋毁、排挤其他供应商的；</w:t>
      </w:r>
    </w:p>
    <w:p>
      <w:pPr>
        <w:topLinePunct/>
        <w:spacing w:line="360" w:lineRule="auto"/>
        <w:ind w:firstLine="480" w:firstLineChars="200"/>
        <w:rPr>
          <w:rFonts w:hint="eastAsia" w:ascii="宋体" w:hAnsi="宋体" w:eastAsia="宋体"/>
          <w:sz w:val="24"/>
          <w:szCs w:val="21"/>
        </w:rPr>
      </w:pPr>
      <w:r>
        <w:rPr>
          <w:rFonts w:hint="eastAsia" w:ascii="宋体" w:hAnsi="宋体" w:eastAsia="宋体"/>
          <w:sz w:val="24"/>
          <w:szCs w:val="21"/>
        </w:rPr>
        <w:t xml:space="preserve">（4）与采购单位、采购代理机构或者其他供应商恶意串通的； </w:t>
      </w:r>
    </w:p>
    <w:p>
      <w:pPr>
        <w:topLinePunct/>
        <w:spacing w:line="360" w:lineRule="auto"/>
        <w:ind w:firstLine="480" w:firstLineChars="200"/>
        <w:rPr>
          <w:rFonts w:hint="eastAsia" w:ascii="宋体" w:hAnsi="宋体" w:eastAsia="宋体"/>
          <w:sz w:val="24"/>
          <w:szCs w:val="21"/>
        </w:rPr>
      </w:pPr>
      <w:r>
        <w:rPr>
          <w:rFonts w:hint="eastAsia" w:ascii="宋体" w:hAnsi="宋体" w:eastAsia="宋体"/>
          <w:sz w:val="24"/>
          <w:szCs w:val="21"/>
        </w:rPr>
        <w:t>（5）招投标中存在围标、串标行为的；</w:t>
      </w:r>
    </w:p>
    <w:p>
      <w:pPr>
        <w:topLinePunct/>
        <w:spacing w:line="360" w:lineRule="auto"/>
        <w:ind w:firstLine="480" w:firstLineChars="200"/>
        <w:rPr>
          <w:rFonts w:hint="eastAsia" w:ascii="宋体" w:hAnsi="宋体" w:eastAsia="宋体"/>
          <w:sz w:val="24"/>
          <w:szCs w:val="21"/>
        </w:rPr>
      </w:pPr>
      <w:r>
        <w:rPr>
          <w:rFonts w:hint="eastAsia" w:ascii="宋体" w:hAnsi="宋体" w:eastAsia="宋体"/>
          <w:sz w:val="24"/>
          <w:szCs w:val="21"/>
        </w:rPr>
        <w:t>（6）招标后进行转包或者非法分包的；</w:t>
      </w:r>
    </w:p>
    <w:p>
      <w:pPr>
        <w:topLinePunct/>
        <w:spacing w:line="360" w:lineRule="auto"/>
        <w:ind w:firstLine="480" w:firstLineChars="200"/>
        <w:rPr>
          <w:rFonts w:hint="eastAsia" w:ascii="宋体" w:hAnsi="宋体" w:eastAsia="宋体"/>
          <w:sz w:val="24"/>
          <w:szCs w:val="21"/>
        </w:rPr>
      </w:pPr>
      <w:r>
        <w:rPr>
          <w:rFonts w:hint="eastAsia" w:ascii="宋体" w:hAnsi="宋体" w:eastAsia="宋体"/>
          <w:sz w:val="24"/>
          <w:szCs w:val="21"/>
        </w:rPr>
        <w:t xml:space="preserve">（7）中标后无正当理由不与采购单位签订采购合同的； </w:t>
      </w:r>
    </w:p>
    <w:p>
      <w:pPr>
        <w:topLinePunct/>
        <w:spacing w:line="360" w:lineRule="auto"/>
        <w:ind w:firstLine="480" w:firstLineChars="200"/>
        <w:rPr>
          <w:rFonts w:hint="eastAsia" w:ascii="宋体" w:hAnsi="宋体" w:eastAsia="宋体"/>
          <w:sz w:val="24"/>
          <w:szCs w:val="21"/>
        </w:rPr>
      </w:pPr>
      <w:r>
        <w:rPr>
          <w:rFonts w:hint="eastAsia" w:ascii="宋体" w:hAnsi="宋体" w:eastAsia="宋体"/>
          <w:sz w:val="24"/>
          <w:szCs w:val="21"/>
        </w:rPr>
        <w:t>（8）擅自变更或者终止采购合同的；</w:t>
      </w:r>
    </w:p>
    <w:p>
      <w:pPr>
        <w:topLinePunct/>
        <w:spacing w:line="360" w:lineRule="auto"/>
        <w:ind w:firstLine="480" w:firstLineChars="200"/>
        <w:rPr>
          <w:rFonts w:hint="eastAsia" w:ascii="宋体" w:hAnsi="宋体" w:eastAsia="宋体"/>
          <w:sz w:val="24"/>
          <w:szCs w:val="21"/>
        </w:rPr>
      </w:pPr>
      <w:r>
        <w:rPr>
          <w:rFonts w:hint="eastAsia" w:ascii="宋体" w:hAnsi="宋体" w:eastAsia="宋体"/>
          <w:sz w:val="24"/>
          <w:szCs w:val="21"/>
        </w:rPr>
        <w:t>（9）采购货物在使用后发现存有质量缺陷造成较大经济损失或安全事故，情况情节严重的；</w:t>
      </w:r>
    </w:p>
    <w:p>
      <w:pPr>
        <w:topLinePunct/>
        <w:spacing w:line="360" w:lineRule="auto"/>
        <w:ind w:firstLine="480" w:firstLineChars="200"/>
        <w:rPr>
          <w:rFonts w:hint="eastAsia" w:ascii="宋体" w:hAnsi="宋体" w:eastAsia="宋体"/>
          <w:sz w:val="24"/>
          <w:szCs w:val="21"/>
        </w:rPr>
      </w:pPr>
      <w:r>
        <w:rPr>
          <w:rFonts w:hint="eastAsia" w:ascii="宋体" w:hAnsi="宋体" w:eastAsia="宋体"/>
          <w:sz w:val="24"/>
          <w:szCs w:val="21"/>
        </w:rPr>
        <w:t>（10）合同期内向烟草行业外有行贿行为的；</w:t>
      </w:r>
    </w:p>
    <w:p>
      <w:pPr>
        <w:topLinePunct/>
        <w:spacing w:line="360" w:lineRule="auto"/>
        <w:ind w:firstLine="480" w:firstLineChars="200"/>
        <w:rPr>
          <w:rFonts w:hint="eastAsia" w:ascii="宋体" w:hAnsi="宋体" w:eastAsia="宋体"/>
          <w:sz w:val="24"/>
          <w:szCs w:val="21"/>
        </w:rPr>
      </w:pPr>
      <w:r>
        <w:rPr>
          <w:rFonts w:hint="eastAsia" w:ascii="宋体" w:hAnsi="宋体" w:eastAsia="宋体"/>
          <w:sz w:val="24"/>
          <w:szCs w:val="21"/>
        </w:rPr>
        <w:t>（11）因未按需求计划及时交货经三次以上催告并导致停工待料或影响工期的；</w:t>
      </w:r>
    </w:p>
    <w:p>
      <w:pPr>
        <w:topLinePunct/>
        <w:spacing w:line="360" w:lineRule="auto"/>
        <w:ind w:firstLine="480" w:firstLineChars="200"/>
        <w:rPr>
          <w:rFonts w:hint="eastAsia" w:ascii="宋体" w:hAnsi="宋体" w:eastAsia="宋体"/>
          <w:sz w:val="24"/>
          <w:szCs w:val="21"/>
        </w:rPr>
      </w:pPr>
      <w:r>
        <w:rPr>
          <w:rFonts w:hint="eastAsia" w:ascii="宋体" w:hAnsi="宋体" w:eastAsia="宋体"/>
          <w:sz w:val="24"/>
          <w:szCs w:val="21"/>
        </w:rPr>
        <w:t>（12）无正当理由发生质疑或投诉二次（含二次）以上的；</w:t>
      </w:r>
    </w:p>
    <w:p>
      <w:pPr>
        <w:topLinePunct/>
        <w:spacing w:line="360" w:lineRule="auto"/>
        <w:ind w:firstLine="480" w:firstLineChars="200"/>
        <w:rPr>
          <w:rFonts w:hint="eastAsia" w:ascii="宋体" w:hAnsi="宋体" w:eastAsia="宋体"/>
          <w:sz w:val="24"/>
          <w:szCs w:val="21"/>
        </w:rPr>
      </w:pPr>
      <w:r>
        <w:rPr>
          <w:rFonts w:hint="eastAsia" w:ascii="宋体" w:hAnsi="宋体" w:eastAsia="宋体"/>
          <w:sz w:val="24"/>
          <w:szCs w:val="21"/>
        </w:rPr>
        <w:t>（13）拒绝采购单位有关部门进行监督检查或者提供虚假情况的。</w:t>
      </w:r>
    </w:p>
    <w:p>
      <w:pPr>
        <w:topLinePunct/>
        <w:spacing w:line="360" w:lineRule="auto"/>
        <w:ind w:firstLine="480" w:firstLineChars="200"/>
        <w:rPr>
          <w:rFonts w:hint="eastAsia" w:ascii="宋体" w:hAnsi="宋体" w:eastAsia="宋体"/>
          <w:sz w:val="24"/>
          <w:szCs w:val="21"/>
        </w:rPr>
      </w:pPr>
      <w:r>
        <w:rPr>
          <w:rFonts w:hint="eastAsia" w:ascii="宋体" w:hAnsi="宋体" w:eastAsia="宋体"/>
          <w:sz w:val="24"/>
          <w:szCs w:val="21"/>
        </w:rPr>
        <w:t>对列入不良行为记录的供应商，按合同要求赔偿相应损失，列入《不良行为供应商目录》。符合认定条件第（1）、（2）、（3）、（4）、（11）、（12）、（13）条情况的，一年内禁止参加全省烟草系统采购活动，一年不得列入供应商名录；符合认定条件第（5）、（6）、（7）、（8）、（9）条情况的，两年内禁止参加全省烟草系统采购活动，两年不得列入供应商名录。符合认定条件第（10）条情况的，根据合同约定甲方将对供应商采取降低考核评价分数、降低供货份额、缩短服务期限等措施。</w:t>
      </w:r>
    </w:p>
    <w:p>
      <w:pPr>
        <w:topLinePunct/>
        <w:spacing w:line="360" w:lineRule="auto"/>
        <w:ind w:firstLine="480" w:firstLineChars="200"/>
        <w:rPr>
          <w:rFonts w:hint="eastAsia" w:ascii="宋体" w:hAnsi="宋体" w:eastAsia="宋体"/>
          <w:sz w:val="24"/>
          <w:szCs w:val="21"/>
        </w:rPr>
      </w:pPr>
      <w:r>
        <w:rPr>
          <w:rFonts w:hint="eastAsia" w:ascii="宋体" w:hAnsi="宋体" w:eastAsia="宋体"/>
          <w:sz w:val="24"/>
          <w:szCs w:val="21"/>
          <w:lang w:eastAsia="zh-CN"/>
        </w:rPr>
        <w:t>十一、</w:t>
      </w:r>
      <w:r>
        <w:rPr>
          <w:rFonts w:hint="eastAsia" w:ascii="宋体" w:hAnsi="宋体" w:eastAsia="宋体"/>
          <w:sz w:val="24"/>
          <w:szCs w:val="21"/>
        </w:rPr>
        <w:t>供应商在合同期内被发现有行贿行为的，甲方有权采取以下措施：</w:t>
      </w:r>
    </w:p>
    <w:p>
      <w:pPr>
        <w:topLinePunct/>
        <w:spacing w:line="360" w:lineRule="auto"/>
        <w:ind w:firstLine="480" w:firstLineChars="200"/>
        <w:rPr>
          <w:rFonts w:hint="eastAsia" w:ascii="宋体" w:hAnsi="宋体" w:eastAsia="宋体"/>
          <w:sz w:val="24"/>
          <w:szCs w:val="21"/>
        </w:rPr>
      </w:pPr>
      <w:r>
        <w:rPr>
          <w:rFonts w:hint="eastAsia" w:ascii="宋体" w:hAnsi="宋体" w:eastAsia="宋体"/>
          <w:sz w:val="24"/>
          <w:szCs w:val="21"/>
        </w:rPr>
        <w:t>1、要求乙方将核心技术资料（香精香料配方、软件源代码等）公开，交给其他供应商使用；</w:t>
      </w:r>
    </w:p>
    <w:p>
      <w:pPr>
        <w:topLinePunct/>
        <w:spacing w:line="360" w:lineRule="auto"/>
        <w:ind w:firstLine="480" w:firstLineChars="200"/>
        <w:rPr>
          <w:rFonts w:hint="eastAsia" w:ascii="宋体" w:hAnsi="宋体" w:eastAsia="宋体"/>
          <w:sz w:val="24"/>
          <w:szCs w:val="21"/>
        </w:rPr>
      </w:pPr>
      <w:r>
        <w:rPr>
          <w:rFonts w:hint="eastAsia" w:ascii="宋体" w:hAnsi="宋体" w:eastAsia="宋体"/>
          <w:sz w:val="24"/>
          <w:szCs w:val="21"/>
        </w:rPr>
        <w:t>2、采取乙方降低考核评价分数、降低供货份额、缩短服务期限、终止或解除合同。（此条款需各项目自行细化，明确违约责任承担形式）；</w:t>
      </w:r>
    </w:p>
    <w:p>
      <w:pPr>
        <w:topLinePunct/>
        <w:spacing w:line="360" w:lineRule="auto"/>
        <w:ind w:firstLine="480" w:firstLineChars="200"/>
        <w:rPr>
          <w:rFonts w:hint="eastAsia" w:ascii="宋体" w:hAnsi="宋体"/>
          <w:sz w:val="24"/>
          <w:szCs w:val="21"/>
        </w:rPr>
      </w:pPr>
      <w:r>
        <w:rPr>
          <w:rFonts w:hint="eastAsia" w:ascii="宋体" w:hAnsi="宋体" w:eastAsia="宋体"/>
          <w:sz w:val="24"/>
          <w:szCs w:val="21"/>
        </w:rPr>
        <w:t>3、将乙方纳入烟草行业行贿供应商名单，根据甲方行贿供应商管理制度，禁止乙方参加烟草行业采购。具体禁入年限如下：（1）行贿数额不满10万元的，禁止参加全行业烟草企业新采购项目1年，禁止参加浙江省烟草专卖商业系统新采购项目2年；（2）行贿数额10万元以上不满50万元的，禁止参加全行业烟草企业新采购项目1年，禁止参加浙江省烟草专卖商业系统新采购项目3年；（3）行贿数额50万元以上不满100万元的，禁止参加全行业烟草企业新采购项目1年，禁止参加浙江省烟草专卖商业系统新采购项目4年；（4）行贿数额在100万元以上不满500万元的，禁止参加全行业烟草企业新采购项目2年，禁止参加浙江省烟草专卖商业系统新采购项目5年；（5）行贿数额在500万元以上的，禁止参加全行业烟草企业新采购项目3年，禁止参加浙江省烟草专卖商业系统新采购项目6年；（6）向烟草行业行贿两次以上的或者造成恶劣社会影响的，永久禁止参加浙江省烟草专卖商业系统新采购项目；（7）行贿行为情节特别严重的，永久禁止参加烟草企业新采购项目。</w:t>
      </w:r>
    </w:p>
    <w:p>
      <w:pPr>
        <w:topLinePunct/>
        <w:spacing w:line="360" w:lineRule="auto"/>
        <w:ind w:firstLine="480" w:firstLineChars="200"/>
        <w:rPr>
          <w:rFonts w:ascii="宋体" w:hAnsi="宋体"/>
          <w:sz w:val="24"/>
          <w:szCs w:val="21"/>
        </w:rPr>
      </w:pPr>
      <w:r>
        <w:rPr>
          <w:rFonts w:hint="eastAsia" w:ascii="宋体" w:hAnsi="宋体"/>
          <w:sz w:val="24"/>
          <w:szCs w:val="21"/>
        </w:rPr>
        <w:t>十</w:t>
      </w:r>
      <w:r>
        <w:rPr>
          <w:rFonts w:hint="eastAsia" w:ascii="宋体" w:hAnsi="宋体"/>
          <w:sz w:val="24"/>
          <w:szCs w:val="21"/>
          <w:lang w:eastAsia="zh-CN"/>
        </w:rPr>
        <w:t>二</w:t>
      </w:r>
      <w:r>
        <w:rPr>
          <w:rFonts w:hint="eastAsia" w:ascii="宋体" w:hAnsi="宋体"/>
          <w:sz w:val="24"/>
          <w:szCs w:val="21"/>
        </w:rPr>
        <w:t>、本合同在履行中如发生争议，双方应协商解决；协商不成的，任何一方均可向甲方所在地人民法院起诉。</w:t>
      </w:r>
    </w:p>
    <w:p>
      <w:pPr>
        <w:topLinePunct/>
        <w:spacing w:line="360" w:lineRule="auto"/>
        <w:ind w:firstLine="480" w:firstLineChars="200"/>
        <w:rPr>
          <w:rFonts w:ascii="宋体" w:hAnsi="宋体"/>
          <w:sz w:val="24"/>
          <w:szCs w:val="21"/>
        </w:rPr>
      </w:pPr>
      <w:r>
        <w:rPr>
          <w:rFonts w:hint="eastAsia" w:ascii="宋体" w:hAnsi="宋体"/>
          <w:sz w:val="24"/>
          <w:szCs w:val="21"/>
        </w:rPr>
        <w:t>十</w:t>
      </w:r>
      <w:r>
        <w:rPr>
          <w:rFonts w:hint="eastAsia" w:ascii="宋体" w:hAnsi="宋体"/>
          <w:sz w:val="24"/>
          <w:szCs w:val="21"/>
          <w:lang w:eastAsia="zh-CN"/>
        </w:rPr>
        <w:t>三</w:t>
      </w:r>
      <w:r>
        <w:rPr>
          <w:rFonts w:hint="eastAsia" w:ascii="宋体" w:hAnsi="宋体"/>
          <w:sz w:val="24"/>
          <w:szCs w:val="21"/>
        </w:rPr>
        <w:t>、本合同未尽事宜，经双方协商一致，可作出补充规定。</w:t>
      </w:r>
    </w:p>
    <w:p>
      <w:pPr>
        <w:topLinePunct/>
        <w:spacing w:line="360" w:lineRule="auto"/>
        <w:ind w:firstLine="480" w:firstLineChars="200"/>
        <w:rPr>
          <w:rFonts w:hint="eastAsia" w:ascii="宋体" w:hAnsi="宋体"/>
          <w:sz w:val="24"/>
          <w:szCs w:val="21"/>
        </w:rPr>
      </w:pPr>
      <w:r>
        <w:rPr>
          <w:rFonts w:hint="eastAsia" w:ascii="宋体" w:hAnsi="宋体"/>
          <w:sz w:val="24"/>
          <w:szCs w:val="21"/>
        </w:rPr>
        <w:t>十</w:t>
      </w:r>
      <w:r>
        <w:rPr>
          <w:rFonts w:hint="eastAsia" w:ascii="宋体" w:hAnsi="宋体"/>
          <w:sz w:val="24"/>
          <w:szCs w:val="21"/>
          <w:lang w:eastAsia="zh-CN"/>
        </w:rPr>
        <w:t>四</w:t>
      </w:r>
      <w:r>
        <w:rPr>
          <w:rFonts w:hint="eastAsia" w:ascii="宋体" w:hAnsi="宋体"/>
          <w:sz w:val="24"/>
          <w:szCs w:val="21"/>
        </w:rPr>
        <w:t>、本合同一式六份，甲、乙双方各执三份，自双方盖章（</w:t>
      </w:r>
      <w:r>
        <w:rPr>
          <w:rFonts w:hint="default" w:ascii="宋体" w:hAnsi="宋体"/>
          <w:sz w:val="24"/>
          <w:szCs w:val="21"/>
          <w:lang w:val="en"/>
        </w:rPr>
        <w:t>签名</w:t>
      </w:r>
      <w:r>
        <w:rPr>
          <w:rFonts w:hint="eastAsia" w:ascii="宋体" w:hAnsi="宋体"/>
          <w:sz w:val="24"/>
          <w:szCs w:val="21"/>
        </w:rPr>
        <w:t>）之日起生效。</w:t>
      </w:r>
    </w:p>
    <w:p>
      <w:pPr>
        <w:spacing w:line="560" w:lineRule="exact"/>
        <w:jc w:val="left"/>
        <w:rPr>
          <w:rFonts w:ascii="宋体" w:hAnsi="宋体"/>
          <w:sz w:val="24"/>
          <w:szCs w:val="21"/>
        </w:rPr>
      </w:pPr>
    </w:p>
    <w:p>
      <w:pPr>
        <w:spacing w:line="560" w:lineRule="exact"/>
        <w:jc w:val="left"/>
        <w:rPr>
          <w:rFonts w:ascii="宋体" w:hAnsi="宋体"/>
          <w:sz w:val="24"/>
          <w:szCs w:val="21"/>
        </w:rPr>
      </w:pPr>
    </w:p>
    <w:p>
      <w:pPr>
        <w:spacing w:line="560" w:lineRule="exact"/>
        <w:jc w:val="left"/>
        <w:rPr>
          <w:rFonts w:ascii="宋体" w:hAnsi="宋体"/>
          <w:sz w:val="24"/>
        </w:rPr>
      </w:pPr>
      <w:r>
        <w:rPr>
          <w:rFonts w:hint="eastAsia" w:ascii="宋体" w:hAnsi="宋体"/>
          <w:sz w:val="24"/>
        </w:rPr>
        <w:t>甲方（盖章）：                          乙方（盖章）：</w:t>
      </w:r>
    </w:p>
    <w:p>
      <w:pPr>
        <w:spacing w:line="560" w:lineRule="exact"/>
        <w:jc w:val="left"/>
        <w:rPr>
          <w:rFonts w:ascii="宋体" w:hAnsi="宋体"/>
          <w:sz w:val="24"/>
        </w:rPr>
      </w:pPr>
      <w:r>
        <w:rPr>
          <w:rFonts w:hint="eastAsia" w:ascii="宋体" w:hAnsi="宋体"/>
          <w:sz w:val="24"/>
        </w:rPr>
        <w:t>法定代表人或委托代理人</w:t>
      </w:r>
      <w:r>
        <w:rPr>
          <w:rFonts w:hint="default" w:ascii="宋体" w:hAnsi="宋体"/>
          <w:sz w:val="24"/>
          <w:lang w:val="en"/>
        </w:rPr>
        <w:t>签名</w:t>
      </w:r>
      <w:r>
        <w:rPr>
          <w:rFonts w:hint="eastAsia" w:ascii="宋体" w:hAnsi="宋体"/>
          <w:sz w:val="24"/>
        </w:rPr>
        <w:t>：</w:t>
      </w:r>
      <w:r>
        <w:rPr>
          <w:rFonts w:ascii="宋体" w:hAnsi="宋体"/>
          <w:sz w:val="24"/>
        </w:rPr>
        <w:t xml:space="preserve">           </w:t>
      </w:r>
      <w:r>
        <w:rPr>
          <w:rFonts w:hint="eastAsia" w:ascii="宋体" w:hAnsi="宋体"/>
          <w:sz w:val="24"/>
        </w:rPr>
        <w:t>法定代表人或委托代理人</w:t>
      </w:r>
      <w:r>
        <w:rPr>
          <w:rFonts w:hint="default" w:ascii="宋体" w:hAnsi="宋体"/>
          <w:sz w:val="24"/>
          <w:lang w:val="en"/>
        </w:rPr>
        <w:t>签名</w:t>
      </w:r>
      <w:r>
        <w:rPr>
          <w:rFonts w:hint="eastAsia" w:ascii="宋体" w:hAnsi="宋体"/>
          <w:sz w:val="24"/>
        </w:rPr>
        <w:t>：</w:t>
      </w:r>
    </w:p>
    <w:p>
      <w:pPr>
        <w:spacing w:line="560" w:lineRule="exact"/>
        <w:jc w:val="left"/>
        <w:rPr>
          <w:rFonts w:ascii="宋体" w:hAnsi="宋体"/>
          <w:sz w:val="24"/>
        </w:rPr>
      </w:pPr>
    </w:p>
    <w:p>
      <w:pPr>
        <w:spacing w:line="560" w:lineRule="exact"/>
        <w:jc w:val="left"/>
        <w:rPr>
          <w:rFonts w:ascii="宋体" w:hAnsi="宋体"/>
          <w:sz w:val="22"/>
        </w:rPr>
      </w:pP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rPr>
        <w:t xml:space="preserve">                            </w:t>
      </w:r>
      <w:r>
        <w:rPr>
          <w:rFonts w:hint="eastAsia" w:ascii="宋体" w:hAnsi="宋体"/>
          <w:sz w:val="24"/>
        </w:rPr>
        <w:t>地</w:t>
      </w:r>
      <w:r>
        <w:rPr>
          <w:rFonts w:ascii="宋体" w:hAnsi="宋体"/>
          <w:sz w:val="24"/>
        </w:rPr>
        <w:t xml:space="preserve">     </w:t>
      </w:r>
      <w:r>
        <w:rPr>
          <w:rFonts w:hint="eastAsia" w:ascii="宋体" w:hAnsi="宋体"/>
          <w:sz w:val="24"/>
        </w:rPr>
        <w:t>址：</w:t>
      </w:r>
    </w:p>
    <w:p>
      <w:pPr>
        <w:spacing w:line="560" w:lineRule="exact"/>
        <w:jc w:val="left"/>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电</w:t>
      </w:r>
      <w:r>
        <w:rPr>
          <w:rFonts w:ascii="宋体" w:hAnsi="宋体"/>
          <w:sz w:val="24"/>
        </w:rPr>
        <w:t xml:space="preserve">     </w:t>
      </w:r>
      <w:r>
        <w:rPr>
          <w:rFonts w:hint="eastAsia" w:ascii="宋体" w:hAnsi="宋体"/>
          <w:sz w:val="24"/>
        </w:rPr>
        <w:t>话：</w:t>
      </w:r>
    </w:p>
    <w:p>
      <w:pPr>
        <w:spacing w:line="560" w:lineRule="exact"/>
        <w:jc w:val="left"/>
        <w:rPr>
          <w:rFonts w:hint="eastAsia" w:ascii="宋体" w:hAnsi="宋体"/>
          <w:sz w:val="24"/>
        </w:rPr>
      </w:pPr>
      <w:r>
        <w:rPr>
          <w:rFonts w:hint="eastAsia" w:ascii="宋体" w:hAnsi="宋体"/>
          <w:sz w:val="24"/>
        </w:rPr>
        <w:t>签订日期：</w:t>
      </w:r>
      <w:r>
        <w:rPr>
          <w:rFonts w:ascii="宋体" w:hAnsi="宋体"/>
          <w:sz w:val="24"/>
        </w:rPr>
        <w:t xml:space="preserve">                             </w:t>
      </w:r>
      <w:r>
        <w:rPr>
          <w:rFonts w:hint="eastAsia" w:ascii="宋体" w:hAnsi="宋体"/>
          <w:sz w:val="24"/>
        </w:rPr>
        <w:t>签订日期：</w:t>
      </w:r>
    </w:p>
    <w:p>
      <w:pPr>
        <w:spacing w:line="560" w:lineRule="exact"/>
        <w:jc w:val="left"/>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pStyle w:val="2"/>
        <w:rPr>
          <w:rFonts w:hint="eastAsia" w:ascii="宋体" w:hAnsi="宋体"/>
          <w:sz w:val="24"/>
        </w:rPr>
      </w:pPr>
    </w:p>
    <w:p>
      <w:pPr>
        <w:tabs>
          <w:tab w:val="left" w:pos="0"/>
        </w:tabs>
        <w:spacing w:line="360" w:lineRule="auto"/>
        <w:rPr>
          <w:rFonts w:ascii="宋体" w:hAnsi="宋体"/>
          <w:sz w:val="24"/>
        </w:rPr>
      </w:pPr>
      <w:r>
        <w:rPr>
          <w:rFonts w:hint="eastAsia" w:ascii="宋体" w:hAnsi="宋体"/>
          <w:sz w:val="24"/>
        </w:rPr>
        <w:t>附件</w:t>
      </w:r>
      <w:r>
        <w:rPr>
          <w:rFonts w:hint="eastAsia" w:ascii="宋体" w:hAnsi="宋体"/>
          <w:sz w:val="24"/>
          <w:lang w:val="en-US" w:eastAsia="zh-CN"/>
        </w:rPr>
        <w:t>1</w:t>
      </w:r>
      <w:r>
        <w:rPr>
          <w:rFonts w:hint="eastAsia" w:ascii="宋体" w:hAnsi="宋体"/>
          <w:sz w:val="24"/>
        </w:rPr>
        <w:t>：</w:t>
      </w:r>
    </w:p>
    <w:p>
      <w:pPr>
        <w:adjustRightInd w:val="0"/>
        <w:snapToGrid w:val="0"/>
        <w:spacing w:line="460" w:lineRule="exact"/>
        <w:ind w:right="29"/>
        <w:jc w:val="center"/>
        <w:rPr>
          <w:rFonts w:ascii="宋体" w:hAnsi="宋体"/>
          <w:b/>
          <w:sz w:val="28"/>
          <w:szCs w:val="28"/>
        </w:rPr>
      </w:pPr>
      <w:r>
        <w:rPr>
          <w:rFonts w:hint="eastAsia" w:ascii="宋体" w:hAnsi="宋体" w:cs="宋体"/>
          <w:b/>
          <w:bCs/>
          <w:kern w:val="0"/>
          <w:sz w:val="28"/>
          <w:szCs w:val="28"/>
          <w:lang w:val="zh-CN"/>
        </w:rPr>
        <w:t>廉</w:t>
      </w:r>
      <w:r>
        <w:rPr>
          <w:rFonts w:hint="eastAsia" w:ascii="宋体" w:hAnsi="宋体"/>
          <w:b/>
          <w:bCs/>
          <w:kern w:val="0"/>
          <w:sz w:val="28"/>
          <w:szCs w:val="28"/>
        </w:rPr>
        <w:t xml:space="preserve"> </w:t>
      </w:r>
      <w:r>
        <w:rPr>
          <w:rFonts w:hint="eastAsia" w:ascii="宋体" w:hAnsi="宋体" w:cs="宋体"/>
          <w:b/>
          <w:bCs/>
          <w:kern w:val="0"/>
          <w:sz w:val="28"/>
          <w:szCs w:val="28"/>
          <w:lang w:val="zh-CN"/>
        </w:rPr>
        <w:t>洁</w:t>
      </w:r>
      <w:r>
        <w:rPr>
          <w:rFonts w:hint="eastAsia" w:ascii="宋体" w:hAnsi="宋体"/>
          <w:b/>
          <w:bCs/>
          <w:kern w:val="0"/>
          <w:sz w:val="28"/>
          <w:szCs w:val="28"/>
        </w:rPr>
        <w:t xml:space="preserve"> </w:t>
      </w:r>
      <w:r>
        <w:rPr>
          <w:rFonts w:hint="eastAsia" w:ascii="宋体" w:hAnsi="宋体" w:cs="宋体"/>
          <w:b/>
          <w:bCs/>
          <w:kern w:val="0"/>
          <w:sz w:val="28"/>
          <w:szCs w:val="28"/>
        </w:rPr>
        <w:t>合 同</w:t>
      </w:r>
    </w:p>
    <w:p>
      <w:pPr>
        <w:autoSpaceDE w:val="0"/>
        <w:autoSpaceDN w:val="0"/>
        <w:adjustRightInd w:val="0"/>
        <w:spacing w:line="460" w:lineRule="exact"/>
        <w:ind w:left="2"/>
        <w:jc w:val="left"/>
        <w:rPr>
          <w:rFonts w:ascii="宋体" w:hAnsi="宋体" w:cs="宋体"/>
          <w:kern w:val="0"/>
          <w:szCs w:val="21"/>
          <w:lang w:val="zh-CN"/>
        </w:rPr>
      </w:pPr>
    </w:p>
    <w:p>
      <w:pPr>
        <w:snapToGrid w:val="0"/>
        <w:spacing w:line="360" w:lineRule="auto"/>
        <w:rPr>
          <w:rFonts w:ascii="宋体" w:hAnsi="宋体"/>
          <w:kern w:val="0"/>
          <w:sz w:val="24"/>
          <w:lang w:val="zh-CN"/>
        </w:rPr>
      </w:pPr>
      <w:r>
        <w:rPr>
          <w:rFonts w:hint="eastAsia" w:ascii="宋体"/>
          <w:sz w:val="24"/>
        </w:rPr>
        <w:t>甲方：</w:t>
      </w:r>
      <w:r>
        <w:rPr>
          <w:rFonts w:hint="eastAsia" w:ascii="宋体"/>
          <w:sz w:val="24"/>
          <w:u w:val="single"/>
          <w:lang w:val="zh-CN"/>
        </w:rPr>
        <w:t>浙江省烟草公司舟山市公司</w:t>
      </w:r>
    </w:p>
    <w:p>
      <w:pPr>
        <w:snapToGrid w:val="0"/>
        <w:spacing w:line="360" w:lineRule="auto"/>
        <w:rPr>
          <w:rFonts w:hint="default" w:ascii="宋体" w:hAnsi="宋体" w:eastAsia="宋体"/>
          <w:kern w:val="0"/>
          <w:sz w:val="24"/>
          <w:lang w:val="en-US" w:eastAsia="zh-CN"/>
        </w:rPr>
      </w:pPr>
      <w:r>
        <w:rPr>
          <w:rFonts w:hint="eastAsia" w:ascii="宋体" w:hAnsi="宋体"/>
          <w:kern w:val="0"/>
          <w:sz w:val="24"/>
        </w:rPr>
        <w:t>乙方：</w:t>
      </w:r>
      <w:r>
        <w:rPr>
          <w:rFonts w:hint="eastAsia" w:ascii="宋体" w:hAnsi="宋体"/>
          <w:kern w:val="0"/>
          <w:sz w:val="24"/>
          <w:u w:val="single"/>
          <w:lang w:val="en-US" w:eastAsia="zh-CN"/>
        </w:rPr>
        <w:t xml:space="preserve">                        </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rPr>
        <w:t>甲乙双方</w:t>
      </w:r>
      <w:r>
        <w:rPr>
          <w:rFonts w:hint="eastAsia" w:ascii="宋体" w:hAnsi="宋体" w:cs="宋体"/>
          <w:kern w:val="0"/>
          <w:sz w:val="24"/>
          <w:lang w:val="zh-CN"/>
        </w:rPr>
        <w:t>在这次</w:t>
      </w:r>
      <w:r>
        <w:rPr>
          <w:rFonts w:hint="eastAsia" w:ascii="宋体" w:hAnsi="宋体" w:cs="宋体"/>
          <w:kern w:val="0"/>
          <w:sz w:val="24"/>
        </w:rPr>
        <w:t>合同签订、履行过程中</w:t>
      </w:r>
      <w:r>
        <w:rPr>
          <w:rFonts w:hint="eastAsia" w:ascii="宋体" w:hAnsi="宋体" w:cs="宋体"/>
          <w:kern w:val="0"/>
          <w:sz w:val="24"/>
          <w:lang w:val="zh-CN"/>
        </w:rPr>
        <w:t>，我们将严格遵守国家法律法规要求，并郑重承诺：</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 xml:space="preserve">四、不为项目有关人员及部门出国（境）、旅游等提供方便； </w:t>
      </w:r>
    </w:p>
    <w:p>
      <w:pPr>
        <w:autoSpaceDE w:val="0"/>
        <w:autoSpaceDN w:val="0"/>
        <w:snapToGrid w:val="0"/>
        <w:spacing w:line="360" w:lineRule="auto"/>
        <w:ind w:firstLine="482" w:firstLineChars="201"/>
        <w:jc w:val="left"/>
        <w:rPr>
          <w:rFonts w:ascii="宋体" w:hAnsi="宋体" w:cs="宋体"/>
          <w:kern w:val="0"/>
          <w:sz w:val="24"/>
          <w:lang w:val="zh-CN"/>
        </w:rPr>
      </w:pPr>
      <w:r>
        <w:rPr>
          <w:rFonts w:hint="eastAsia" w:ascii="宋体" w:hAnsi="宋体" w:cs="宋体"/>
          <w:kern w:val="0"/>
          <w:sz w:val="24"/>
          <w:lang w:val="zh-CN"/>
        </w:rPr>
        <w:t xml:space="preserve">五、不为项目有关人员个人装修住房、婚丧嫁娶、配偶子女工作安排等提供好处； </w:t>
      </w:r>
    </w:p>
    <w:p>
      <w:pPr>
        <w:autoSpaceDE w:val="0"/>
        <w:autoSpaceDN w:val="0"/>
        <w:snapToGrid w:val="0"/>
        <w:spacing w:line="360" w:lineRule="auto"/>
        <w:ind w:left="2" w:firstLine="482" w:firstLineChars="201"/>
        <w:jc w:val="left"/>
        <w:rPr>
          <w:rFonts w:ascii="宋体" w:hAnsi="宋体" w:cs="宋体"/>
          <w:kern w:val="0"/>
          <w:sz w:val="24"/>
          <w:lang w:val="zh-CN"/>
        </w:rPr>
      </w:pPr>
      <w:r>
        <w:rPr>
          <w:rFonts w:hint="eastAsia" w:ascii="宋体" w:hAnsi="宋体" w:cs="宋体"/>
          <w:kern w:val="0"/>
          <w:sz w:val="24"/>
          <w:lang w:val="zh-CN"/>
        </w:rPr>
        <w:t>六、严格遵守招标投标法、</w:t>
      </w:r>
      <w:r>
        <w:rPr>
          <w:rFonts w:ascii="宋体" w:hAnsi="宋体" w:cs="宋体"/>
          <w:kern w:val="0"/>
          <w:sz w:val="24"/>
        </w:rPr>
        <w:t>民</w:t>
      </w:r>
      <w:r>
        <w:rPr>
          <w:rFonts w:hint="eastAsia" w:ascii="宋体" w:hAnsi="宋体" w:cs="宋体"/>
          <w:kern w:val="0"/>
          <w:sz w:val="24"/>
          <w:lang w:val="zh-CN"/>
        </w:rPr>
        <w:t>法</w:t>
      </w:r>
      <w:r>
        <w:rPr>
          <w:rFonts w:ascii="宋体" w:hAnsi="宋体" w:cs="宋体"/>
          <w:kern w:val="0"/>
          <w:sz w:val="24"/>
        </w:rPr>
        <w:t>典</w:t>
      </w:r>
      <w:r>
        <w:rPr>
          <w:rFonts w:hint="eastAsia" w:ascii="宋体" w:hAnsi="宋体" w:cs="宋体"/>
          <w:kern w:val="0"/>
          <w:sz w:val="24"/>
          <w:lang w:val="zh-CN"/>
        </w:rPr>
        <w:t>等法律，诚实守信，合法经营，坚决抵制各种违法违纪行为。</w:t>
      </w:r>
    </w:p>
    <w:p>
      <w:pPr>
        <w:autoSpaceDE w:val="0"/>
        <w:autoSpaceDN w:val="0"/>
        <w:snapToGrid w:val="0"/>
        <w:spacing w:line="360" w:lineRule="auto"/>
        <w:ind w:left="2" w:firstLine="482" w:firstLineChars="201"/>
        <w:jc w:val="left"/>
        <w:rPr>
          <w:rFonts w:ascii="宋体" w:hAnsi="宋体" w:cs="宋体"/>
          <w:kern w:val="0"/>
          <w:sz w:val="24"/>
          <w:lang w:val="zh-CN"/>
        </w:rPr>
      </w:pPr>
      <w:r>
        <w:rPr>
          <w:rFonts w:hint="eastAsia" w:ascii="宋体" w:hAnsi="宋体" w:cs="宋体"/>
          <w:kern w:val="0"/>
          <w:sz w:val="24"/>
          <w:lang w:val="zh-CN"/>
        </w:rPr>
        <w:t>如违反上述承诺，</w:t>
      </w:r>
      <w:r>
        <w:rPr>
          <w:rFonts w:hint="eastAsia" w:ascii="宋体" w:hAnsi="宋体" w:cs="宋体"/>
          <w:kern w:val="0"/>
          <w:sz w:val="24"/>
        </w:rPr>
        <w:t>甲乙双方均</w:t>
      </w:r>
      <w:r>
        <w:rPr>
          <w:rFonts w:hint="eastAsia" w:ascii="宋体" w:hAnsi="宋体" w:cs="宋体"/>
          <w:kern w:val="0"/>
          <w:sz w:val="24"/>
          <w:lang w:val="zh-CN"/>
        </w:rPr>
        <w:t>有权立即</w:t>
      </w:r>
      <w:r>
        <w:rPr>
          <w:rFonts w:hint="eastAsia" w:ascii="宋体" w:hAnsi="宋体" w:cs="宋体"/>
          <w:kern w:val="0"/>
          <w:sz w:val="24"/>
        </w:rPr>
        <w:t>解除合同</w:t>
      </w:r>
      <w:r>
        <w:rPr>
          <w:rFonts w:hint="eastAsia" w:ascii="宋体" w:hAnsi="宋体" w:cs="宋体"/>
          <w:kern w:val="0"/>
          <w:sz w:val="24"/>
          <w:lang w:val="zh-CN"/>
        </w:rPr>
        <w:t>，</w:t>
      </w:r>
      <w:r>
        <w:rPr>
          <w:rFonts w:hint="eastAsia" w:ascii="宋体" w:hAnsi="宋体" w:cs="宋体"/>
          <w:kern w:val="0"/>
          <w:sz w:val="24"/>
        </w:rPr>
        <w:t>并</w:t>
      </w:r>
      <w:r>
        <w:rPr>
          <w:rFonts w:hint="eastAsia" w:ascii="宋体" w:hAnsi="宋体" w:cs="宋体"/>
          <w:kern w:val="0"/>
          <w:sz w:val="24"/>
          <w:lang w:val="zh-CN"/>
        </w:rPr>
        <w:t>在一定时期内有权拒绝</w:t>
      </w:r>
      <w:r>
        <w:rPr>
          <w:rFonts w:hint="eastAsia" w:ascii="宋体" w:hAnsi="宋体" w:cs="宋体"/>
          <w:kern w:val="0"/>
          <w:sz w:val="24"/>
        </w:rPr>
        <w:t>与对方进行合作</w:t>
      </w:r>
      <w:r>
        <w:rPr>
          <w:rFonts w:hint="eastAsia" w:ascii="宋体" w:hAnsi="宋体" w:cs="宋体"/>
          <w:kern w:val="0"/>
          <w:sz w:val="24"/>
          <w:lang w:val="zh-CN"/>
        </w:rPr>
        <w:t>。由此引起的相应损失均由</w:t>
      </w:r>
      <w:r>
        <w:rPr>
          <w:rFonts w:hint="eastAsia" w:ascii="宋体" w:hAnsi="宋体" w:cs="宋体"/>
          <w:kern w:val="0"/>
          <w:sz w:val="24"/>
        </w:rPr>
        <w:t>过错方</w:t>
      </w:r>
      <w:r>
        <w:rPr>
          <w:rFonts w:hint="eastAsia" w:ascii="宋体" w:hAnsi="宋体" w:cs="宋体"/>
          <w:kern w:val="0"/>
          <w:sz w:val="24"/>
          <w:lang w:val="zh-CN"/>
        </w:rPr>
        <w:t>承担。</w:t>
      </w:r>
    </w:p>
    <w:p>
      <w:pPr>
        <w:autoSpaceDE w:val="0"/>
        <w:autoSpaceDN w:val="0"/>
        <w:snapToGrid w:val="0"/>
        <w:spacing w:line="360" w:lineRule="auto"/>
        <w:ind w:left="2"/>
        <w:jc w:val="left"/>
        <w:rPr>
          <w:rFonts w:ascii="宋体" w:hAnsi="宋体" w:cs="宋体"/>
          <w:kern w:val="0"/>
          <w:sz w:val="24"/>
          <w:lang w:val="zh-CN"/>
        </w:rPr>
      </w:pPr>
    </w:p>
    <w:p>
      <w:pPr>
        <w:snapToGrid w:val="0"/>
        <w:spacing w:line="360" w:lineRule="auto"/>
        <w:rPr>
          <w:rFonts w:ascii="宋体" w:hAnsi="宋体"/>
          <w:sz w:val="24"/>
        </w:rPr>
      </w:pPr>
    </w:p>
    <w:p>
      <w:pPr>
        <w:autoSpaceDE w:val="0"/>
        <w:autoSpaceDN w:val="0"/>
        <w:adjustRightInd w:val="0"/>
        <w:spacing w:line="360" w:lineRule="auto"/>
        <w:jc w:val="left"/>
        <w:rPr>
          <w:bCs/>
          <w:color w:val="auto"/>
          <w:kern w:val="0"/>
          <w:sz w:val="24"/>
          <w:szCs w:val="21"/>
          <w:highlight w:val="none"/>
          <w:u w:val="single"/>
        </w:rPr>
      </w:pPr>
      <w:r>
        <w:rPr>
          <w:rFonts w:hint="eastAsia" w:hAnsi="宋体"/>
          <w:bCs/>
          <w:color w:val="auto"/>
          <w:kern w:val="0"/>
          <w:sz w:val="24"/>
          <w:szCs w:val="21"/>
          <w:highlight w:val="none"/>
        </w:rPr>
        <w:t>甲方（盖章）：</w:t>
      </w:r>
      <w:r>
        <w:rPr>
          <w:rFonts w:hint="eastAsia"/>
          <w:bCs/>
          <w:color w:val="auto"/>
          <w:kern w:val="0"/>
          <w:sz w:val="24"/>
          <w:szCs w:val="21"/>
          <w:highlight w:val="none"/>
          <w:u w:val="single"/>
        </w:rPr>
        <w:t xml:space="preserve"> </w:t>
      </w:r>
      <w:r>
        <w:rPr>
          <w:rFonts w:hint="eastAsia" w:ascii="宋体" w:hAnsi="宋体" w:cs="宋体"/>
          <w:spacing w:val="-20"/>
          <w:sz w:val="22"/>
          <w:szCs w:val="22"/>
          <w:highlight w:val="none"/>
          <w:u w:val="single"/>
        </w:rPr>
        <w:t>浙江省烟草公司舟山市公司</w:t>
      </w:r>
      <w:r>
        <w:rPr>
          <w:rFonts w:hint="eastAsia"/>
          <w:bCs/>
          <w:color w:val="auto"/>
          <w:kern w:val="0"/>
          <w:sz w:val="24"/>
          <w:szCs w:val="21"/>
          <w:highlight w:val="none"/>
          <w:u w:val="single"/>
        </w:rPr>
        <w:t xml:space="preserve"> </w:t>
      </w:r>
      <w:r>
        <w:rPr>
          <w:rFonts w:hint="eastAsia" w:hAnsi="宋体"/>
          <w:bCs/>
          <w:color w:val="auto"/>
          <w:kern w:val="0"/>
          <w:sz w:val="24"/>
          <w:szCs w:val="21"/>
          <w:highlight w:val="none"/>
        </w:rPr>
        <w:t>乙方（盖章）：</w:t>
      </w:r>
      <w:r>
        <w:rPr>
          <w:rFonts w:hint="eastAsia" w:ascii="宋体" w:hAnsi="宋体" w:eastAsia="宋体" w:cs="宋体"/>
          <w:spacing w:val="-20"/>
          <w:szCs w:val="21"/>
          <w:highlight w:val="none"/>
          <w:u w:val="single"/>
        </w:rPr>
        <w:t xml:space="preserve">  </w:t>
      </w:r>
      <w:r>
        <w:rPr>
          <w:rFonts w:hint="eastAsia" w:ascii="宋体" w:hAnsi="宋体" w:eastAsia="宋体" w:cs="宋体"/>
          <w:spacing w:val="-20"/>
          <w:sz w:val="22"/>
          <w:szCs w:val="22"/>
          <w:highlight w:val="none"/>
          <w:u w:val="single"/>
          <w:lang w:val="en-US" w:eastAsia="zh-CN"/>
        </w:rPr>
        <w:t xml:space="preserve">                          </w:t>
      </w:r>
      <w:r>
        <w:rPr>
          <w:rFonts w:hint="eastAsia" w:hAnsi="宋体"/>
          <w:bCs/>
          <w:color w:val="auto"/>
          <w:kern w:val="0"/>
          <w:sz w:val="24"/>
          <w:szCs w:val="21"/>
          <w:highlight w:val="none"/>
          <w:u w:val="single"/>
          <w:lang w:val="en-US" w:eastAsia="zh-CN"/>
        </w:rPr>
        <w:t xml:space="preserve">     </w:t>
      </w:r>
      <w:r>
        <w:rPr>
          <w:rFonts w:hint="eastAsia" w:hAnsi="宋体"/>
          <w:bCs/>
          <w:color w:val="auto"/>
          <w:kern w:val="0"/>
          <w:sz w:val="24"/>
          <w:szCs w:val="21"/>
          <w:highlight w:val="none"/>
          <w:u w:val="single"/>
        </w:rPr>
        <w:t xml:space="preserve">  </w:t>
      </w:r>
    </w:p>
    <w:p>
      <w:pPr>
        <w:autoSpaceDE w:val="0"/>
        <w:autoSpaceDN w:val="0"/>
        <w:adjustRightInd w:val="0"/>
        <w:spacing w:line="360" w:lineRule="auto"/>
        <w:jc w:val="left"/>
        <w:rPr>
          <w:rFonts w:ascii="宋体" w:hAnsi="宋体"/>
          <w:sz w:val="24"/>
        </w:rPr>
        <w:sectPr>
          <w:pgSz w:w="11906" w:h="16838"/>
          <w:pgMar w:top="1134" w:right="1418" w:bottom="1134" w:left="1418" w:header="851" w:footer="992" w:gutter="0"/>
          <w:cols w:space="720" w:num="1"/>
          <w:docGrid w:type="lines" w:linePitch="312" w:charSpace="0"/>
        </w:sectPr>
      </w:pPr>
      <w:r>
        <w:rPr>
          <w:rFonts w:hint="eastAsia" w:hAnsi="宋体"/>
          <w:bCs/>
          <w:color w:val="auto"/>
          <w:kern w:val="0"/>
          <w:sz w:val="24"/>
          <w:szCs w:val="21"/>
          <w:highlight w:val="none"/>
        </w:rPr>
        <w:t>日期：</w:t>
      </w:r>
      <w:r>
        <w:rPr>
          <w:rFonts w:hint="eastAsia"/>
          <w:bCs/>
          <w:color w:val="auto"/>
          <w:kern w:val="0"/>
          <w:sz w:val="24"/>
          <w:szCs w:val="21"/>
          <w:highlight w:val="none"/>
          <w:u w:val="single"/>
        </w:rPr>
        <w:t xml:space="preserve">                            </w:t>
      </w:r>
      <w:r>
        <w:rPr>
          <w:rFonts w:hint="eastAsia" w:hAnsi="宋体"/>
          <w:bCs/>
          <w:color w:val="auto"/>
          <w:kern w:val="0"/>
          <w:sz w:val="24"/>
          <w:szCs w:val="21"/>
          <w:highlight w:val="none"/>
        </w:rPr>
        <w:t>日期：</w:t>
      </w:r>
      <w:r>
        <w:rPr>
          <w:rFonts w:hint="eastAsia" w:hAnsi="宋体"/>
          <w:bCs/>
          <w:color w:val="auto"/>
          <w:kern w:val="0"/>
          <w:sz w:val="24"/>
          <w:szCs w:val="21"/>
          <w:highlight w:val="none"/>
          <w:u w:val="single"/>
        </w:rPr>
        <w:t xml:space="preserve">                               </w:t>
      </w:r>
    </w:p>
    <w:p>
      <w:pPr>
        <w:rPr>
          <w:rFonts w:ascii="宋体" w:hAnsi="宋体"/>
          <w:sz w:val="24"/>
        </w:rPr>
      </w:pPr>
      <w:r>
        <w:rPr>
          <w:rFonts w:hint="eastAsia" w:ascii="宋体" w:hAnsi="宋体"/>
          <w:sz w:val="24"/>
        </w:rPr>
        <w:t>附件</w:t>
      </w:r>
      <w:r>
        <w:rPr>
          <w:rFonts w:hint="eastAsia" w:ascii="宋体" w:hAnsi="宋体"/>
          <w:sz w:val="24"/>
          <w:lang w:val="en-US" w:eastAsia="zh-CN"/>
        </w:rPr>
        <w:t>2</w:t>
      </w:r>
      <w:r>
        <w:rPr>
          <w:rFonts w:hint="eastAsia" w:ascii="宋体" w:hAnsi="宋体"/>
          <w:sz w:val="24"/>
        </w:rPr>
        <w:t>：</w:t>
      </w:r>
    </w:p>
    <w:p>
      <w:pPr>
        <w:widowControl/>
        <w:jc w:val="center"/>
        <w:rPr>
          <w:b/>
          <w:sz w:val="30"/>
          <w:szCs w:val="30"/>
        </w:rPr>
      </w:pPr>
      <w:r>
        <w:rPr>
          <w:rFonts w:hAnsi="宋体"/>
          <w:b/>
          <w:sz w:val="30"/>
          <w:szCs w:val="30"/>
        </w:rPr>
        <w:t>供应商履约评价表</w:t>
      </w:r>
      <w:r>
        <w:rPr>
          <w:rFonts w:hint="eastAsia" w:hAnsi="宋体"/>
          <w:b/>
          <w:sz w:val="30"/>
          <w:szCs w:val="30"/>
        </w:rPr>
        <w:t>（服务）</w:t>
      </w:r>
    </w:p>
    <w:p>
      <w:pPr>
        <w:widowControl/>
        <w:rPr>
          <w:bCs/>
          <w:sz w:val="24"/>
        </w:rPr>
      </w:pPr>
      <w:r>
        <w:rPr>
          <w:rFonts w:hAnsi="宋体"/>
          <w:bCs/>
          <w:sz w:val="24"/>
        </w:rPr>
        <w:t>评价时间：</w:t>
      </w:r>
      <w:r>
        <w:rPr>
          <w:rFonts w:hint="eastAsia" w:hAnsi="宋体"/>
          <w:bCs/>
          <w:sz w:val="24"/>
        </w:rPr>
        <w:t xml:space="preserve">   </w:t>
      </w:r>
      <w:r>
        <w:rPr>
          <w:rFonts w:hAnsi="宋体"/>
          <w:bCs/>
          <w:sz w:val="24"/>
        </w:rPr>
        <w:t>年</w:t>
      </w:r>
      <w:r>
        <w:rPr>
          <w:rFonts w:hint="eastAsia" w:hAnsi="宋体"/>
          <w:bCs/>
          <w:sz w:val="24"/>
        </w:rPr>
        <w:t xml:space="preserve">   </w:t>
      </w:r>
      <w:r>
        <w:rPr>
          <w:rFonts w:hAnsi="宋体"/>
          <w:bCs/>
          <w:sz w:val="24"/>
        </w:rPr>
        <w:t>月</w:t>
      </w:r>
      <w:r>
        <w:rPr>
          <w:rFonts w:hint="eastAsia" w:hAnsi="宋体"/>
          <w:bCs/>
          <w:sz w:val="24"/>
        </w:rPr>
        <w:t xml:space="preserve">   </w:t>
      </w:r>
      <w:r>
        <w:rPr>
          <w:rFonts w:hAnsi="宋体"/>
          <w:bCs/>
          <w:sz w:val="24"/>
        </w:rPr>
        <w:t>日</w:t>
      </w:r>
    </w:p>
    <w:tbl>
      <w:tblPr>
        <w:tblStyle w:val="33"/>
        <w:tblW w:w="9576" w:type="dxa"/>
        <w:jc w:val="center"/>
        <w:tblLayout w:type="fixed"/>
        <w:tblCellMar>
          <w:top w:w="0" w:type="dxa"/>
          <w:left w:w="108" w:type="dxa"/>
          <w:bottom w:w="0" w:type="dxa"/>
          <w:right w:w="108" w:type="dxa"/>
        </w:tblCellMar>
      </w:tblPr>
      <w:tblGrid>
        <w:gridCol w:w="1767"/>
        <w:gridCol w:w="1722"/>
        <w:gridCol w:w="1000"/>
        <w:gridCol w:w="2685"/>
        <w:gridCol w:w="948"/>
        <w:gridCol w:w="1454"/>
      </w:tblGrid>
      <w:tr>
        <w:tblPrEx>
          <w:tblCellMar>
            <w:top w:w="0" w:type="dxa"/>
            <w:left w:w="108" w:type="dxa"/>
            <w:bottom w:w="0" w:type="dxa"/>
            <w:right w:w="108" w:type="dxa"/>
          </w:tblCellMar>
        </w:tblPrEx>
        <w:trPr>
          <w:trHeight w:val="296" w:hRule="atLeast"/>
          <w:jc w:val="center"/>
        </w:trPr>
        <w:tc>
          <w:tcPr>
            <w:tcW w:w="1767" w:type="dxa"/>
            <w:tcBorders>
              <w:top w:val="single" w:color="auto" w:sz="4" w:space="0"/>
              <w:left w:val="single" w:color="auto" w:sz="4" w:space="0"/>
              <w:bottom w:val="single" w:color="auto" w:sz="4" w:space="0"/>
              <w:right w:val="single" w:color="auto" w:sz="4" w:space="0"/>
            </w:tcBorders>
            <w:vAlign w:val="center"/>
          </w:tcPr>
          <w:p>
            <w:pPr>
              <w:widowControl/>
              <w:pBdr>
                <w:bottom w:val="single" w:color="auto" w:sz="6" w:space="1"/>
              </w:pBdr>
              <w:tabs>
                <w:tab w:val="center" w:pos="4153"/>
                <w:tab w:val="right" w:pos="8306"/>
              </w:tabs>
              <w:snapToGrid w:val="0"/>
              <w:jc w:val="center"/>
              <w:rPr>
                <w:rFonts w:ascii="宋体" w:hAnsi="宋体"/>
                <w:kern w:val="0"/>
                <w:szCs w:val="21"/>
              </w:rPr>
            </w:pPr>
            <w:r>
              <w:rPr>
                <w:rFonts w:ascii="宋体" w:hAnsi="宋体"/>
                <w:kern w:val="0"/>
                <w:szCs w:val="21"/>
              </w:rPr>
              <w:t>项目名称</w:t>
            </w:r>
          </w:p>
        </w:tc>
        <w:tc>
          <w:tcPr>
            <w:tcW w:w="7809" w:type="dxa"/>
            <w:gridSpan w:val="5"/>
            <w:tcBorders>
              <w:top w:val="single" w:color="auto" w:sz="8" w:space="0"/>
              <w:left w:val="nil"/>
              <w:bottom w:val="single" w:color="auto" w:sz="4" w:space="0"/>
              <w:right w:val="single" w:color="auto" w:sz="8"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243" w:hRule="atLeast"/>
          <w:jc w:val="center"/>
        </w:trPr>
        <w:tc>
          <w:tcPr>
            <w:tcW w:w="1767"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采购单位</w:t>
            </w:r>
          </w:p>
        </w:tc>
        <w:tc>
          <w:tcPr>
            <w:tcW w:w="2722" w:type="dxa"/>
            <w:gridSpan w:val="2"/>
            <w:tcBorders>
              <w:top w:val="single" w:color="auto" w:sz="8" w:space="0"/>
              <w:left w:val="nil"/>
              <w:bottom w:val="single" w:color="auto" w:sz="4" w:space="0"/>
              <w:right w:val="single" w:color="auto" w:sz="4" w:space="0"/>
            </w:tcBorders>
            <w:vAlign w:val="center"/>
          </w:tcPr>
          <w:p>
            <w:pPr>
              <w:widowControl/>
              <w:jc w:val="center"/>
              <w:rPr>
                <w:rFonts w:ascii="宋体" w:hAnsi="宋体"/>
                <w:kern w:val="0"/>
                <w:szCs w:val="21"/>
              </w:rPr>
            </w:pPr>
          </w:p>
        </w:tc>
        <w:tc>
          <w:tcPr>
            <w:tcW w:w="2685" w:type="dxa"/>
            <w:tcBorders>
              <w:top w:val="single" w:color="auto" w:sz="8" w:space="0"/>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bCs/>
                <w:szCs w:val="21"/>
              </w:rPr>
              <w:t>采购计划编号</w:t>
            </w:r>
          </w:p>
        </w:tc>
        <w:tc>
          <w:tcPr>
            <w:tcW w:w="2402" w:type="dxa"/>
            <w:gridSpan w:val="2"/>
            <w:tcBorders>
              <w:top w:val="single" w:color="auto" w:sz="8" w:space="0"/>
              <w:left w:val="nil"/>
              <w:bottom w:val="single" w:color="auto" w:sz="4" w:space="0"/>
              <w:right w:val="single" w:color="auto" w:sz="8"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205" w:hRule="atLeast"/>
          <w:jc w:val="center"/>
        </w:trPr>
        <w:tc>
          <w:tcPr>
            <w:tcW w:w="1767"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供应商名称</w:t>
            </w:r>
          </w:p>
        </w:tc>
        <w:tc>
          <w:tcPr>
            <w:tcW w:w="2722" w:type="dxa"/>
            <w:gridSpan w:val="2"/>
            <w:tcBorders>
              <w:top w:val="single" w:color="auto" w:sz="8" w:space="0"/>
              <w:left w:val="nil"/>
              <w:bottom w:val="single" w:color="auto" w:sz="4" w:space="0"/>
              <w:right w:val="single" w:color="auto" w:sz="4" w:space="0"/>
            </w:tcBorders>
            <w:vAlign w:val="center"/>
          </w:tcPr>
          <w:p>
            <w:pPr>
              <w:widowControl/>
              <w:jc w:val="center"/>
              <w:rPr>
                <w:rFonts w:ascii="宋体" w:hAnsi="宋体"/>
                <w:kern w:val="0"/>
                <w:szCs w:val="21"/>
              </w:rPr>
            </w:pPr>
          </w:p>
        </w:tc>
        <w:tc>
          <w:tcPr>
            <w:tcW w:w="2685" w:type="dxa"/>
            <w:tcBorders>
              <w:top w:val="single" w:color="auto" w:sz="8" w:space="0"/>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合同起止时间</w:t>
            </w:r>
          </w:p>
        </w:tc>
        <w:tc>
          <w:tcPr>
            <w:tcW w:w="2402" w:type="dxa"/>
            <w:gridSpan w:val="2"/>
            <w:tcBorders>
              <w:top w:val="single" w:color="auto" w:sz="8" w:space="0"/>
              <w:left w:val="nil"/>
              <w:bottom w:val="single" w:color="auto" w:sz="4" w:space="0"/>
              <w:right w:val="single" w:color="auto" w:sz="8"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139" w:hRule="atLeast"/>
          <w:jc w:val="center"/>
        </w:trPr>
        <w:tc>
          <w:tcPr>
            <w:tcW w:w="1767" w:type="dxa"/>
            <w:tcBorders>
              <w:top w:val="single" w:color="auto" w:sz="8" w:space="0"/>
              <w:left w:val="single" w:color="auto" w:sz="8" w:space="0"/>
              <w:bottom w:val="single" w:color="auto" w:sz="4" w:space="0"/>
              <w:right w:val="single" w:color="auto" w:sz="4" w:space="0"/>
            </w:tcBorders>
            <w:vAlign w:val="center"/>
          </w:tcPr>
          <w:p>
            <w:pPr>
              <w:widowControl/>
              <w:rPr>
                <w:rFonts w:ascii="宋体" w:hAnsi="宋体"/>
                <w:kern w:val="0"/>
                <w:szCs w:val="21"/>
              </w:rPr>
            </w:pPr>
            <w:r>
              <w:rPr>
                <w:rFonts w:ascii="宋体" w:hAnsi="宋体"/>
                <w:kern w:val="0"/>
                <w:szCs w:val="21"/>
              </w:rPr>
              <w:t>评价项及权重</w:t>
            </w:r>
          </w:p>
        </w:tc>
        <w:tc>
          <w:tcPr>
            <w:tcW w:w="1722" w:type="dxa"/>
            <w:tcBorders>
              <w:top w:val="single" w:color="auto" w:sz="8" w:space="0"/>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评价内容</w:t>
            </w:r>
          </w:p>
        </w:tc>
        <w:tc>
          <w:tcPr>
            <w:tcW w:w="3685" w:type="dxa"/>
            <w:gridSpan w:val="2"/>
            <w:tcBorders>
              <w:top w:val="single" w:color="auto" w:sz="8" w:space="0"/>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评分标准</w:t>
            </w:r>
          </w:p>
        </w:tc>
        <w:tc>
          <w:tcPr>
            <w:tcW w:w="948" w:type="dxa"/>
            <w:tcBorders>
              <w:top w:val="single" w:color="auto" w:sz="8" w:space="0"/>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得分</w:t>
            </w:r>
          </w:p>
        </w:tc>
        <w:tc>
          <w:tcPr>
            <w:tcW w:w="1454" w:type="dxa"/>
            <w:tcBorders>
              <w:top w:val="single" w:color="auto" w:sz="8" w:space="0"/>
              <w:left w:val="nil"/>
              <w:bottom w:val="single" w:color="auto" w:sz="4" w:space="0"/>
              <w:right w:val="single" w:color="auto" w:sz="8" w:space="0"/>
            </w:tcBorders>
            <w:vAlign w:val="center"/>
          </w:tcPr>
          <w:p>
            <w:pPr>
              <w:widowControl/>
              <w:jc w:val="center"/>
              <w:rPr>
                <w:rFonts w:ascii="宋体" w:hAnsi="宋体"/>
                <w:kern w:val="0"/>
                <w:szCs w:val="21"/>
              </w:rPr>
            </w:pPr>
            <w:r>
              <w:rPr>
                <w:rFonts w:ascii="宋体" w:hAnsi="宋体"/>
                <w:kern w:val="0"/>
                <w:szCs w:val="21"/>
              </w:rPr>
              <w:t>备注</w:t>
            </w:r>
          </w:p>
        </w:tc>
      </w:tr>
      <w:tr>
        <w:tblPrEx>
          <w:tblCellMar>
            <w:top w:w="0" w:type="dxa"/>
            <w:left w:w="108" w:type="dxa"/>
            <w:bottom w:w="0" w:type="dxa"/>
            <w:right w:w="108" w:type="dxa"/>
          </w:tblCellMar>
        </w:tblPrEx>
        <w:trPr>
          <w:trHeight w:val="568" w:hRule="atLeast"/>
          <w:jc w:val="center"/>
        </w:trPr>
        <w:tc>
          <w:tcPr>
            <w:tcW w:w="1767" w:type="dxa"/>
            <w:vMerge w:val="restart"/>
            <w:tcBorders>
              <w:top w:val="single" w:color="auto" w:sz="8" w:space="0"/>
              <w:left w:val="single" w:color="auto" w:sz="8" w:space="0"/>
              <w:right w:val="single" w:color="auto" w:sz="4" w:space="0"/>
            </w:tcBorders>
            <w:vAlign w:val="center"/>
          </w:tcPr>
          <w:p>
            <w:pPr>
              <w:jc w:val="center"/>
              <w:rPr>
                <w:rFonts w:ascii="宋体" w:hAnsi="宋体"/>
                <w:kern w:val="0"/>
                <w:szCs w:val="21"/>
              </w:rPr>
            </w:pPr>
            <w:r>
              <w:rPr>
                <w:rFonts w:hint="eastAsia" w:ascii="宋体" w:hAnsi="宋体"/>
                <w:kern w:val="0"/>
                <w:szCs w:val="21"/>
              </w:rPr>
              <w:t>服务人员</w:t>
            </w:r>
            <w:r>
              <w:rPr>
                <w:rFonts w:ascii="宋体" w:hAnsi="宋体"/>
                <w:kern w:val="0"/>
                <w:szCs w:val="21"/>
              </w:rPr>
              <w:t>（4</w:t>
            </w:r>
            <w:r>
              <w:rPr>
                <w:rFonts w:hint="eastAsia" w:ascii="宋体" w:hAnsi="宋体"/>
                <w:kern w:val="0"/>
                <w:szCs w:val="21"/>
              </w:rPr>
              <w:t>0%）</w:t>
            </w:r>
          </w:p>
        </w:tc>
        <w:tc>
          <w:tcPr>
            <w:tcW w:w="1722" w:type="dxa"/>
            <w:tcBorders>
              <w:top w:val="single" w:color="auto" w:sz="8" w:space="0"/>
              <w:left w:val="nil"/>
              <w:bottom w:val="single" w:color="auto" w:sz="4" w:space="0"/>
              <w:right w:val="single" w:color="auto" w:sz="4" w:space="0"/>
            </w:tcBorders>
            <w:vAlign w:val="center"/>
          </w:tcPr>
          <w:p>
            <w:pPr>
              <w:widowControl/>
              <w:rPr>
                <w:rFonts w:ascii="宋体" w:hAnsi="宋体"/>
                <w:kern w:val="0"/>
                <w:szCs w:val="21"/>
              </w:rPr>
            </w:pPr>
            <w:r>
              <w:rPr>
                <w:rFonts w:hint="eastAsia" w:ascii="宋体" w:hAnsi="宋体"/>
                <w:szCs w:val="21"/>
              </w:rPr>
              <w:t>专业水平</w:t>
            </w:r>
          </w:p>
        </w:tc>
        <w:tc>
          <w:tcPr>
            <w:tcW w:w="3685" w:type="dxa"/>
            <w:gridSpan w:val="2"/>
            <w:tcBorders>
              <w:top w:val="single" w:color="auto" w:sz="8" w:space="0"/>
              <w:left w:val="nil"/>
              <w:bottom w:val="single" w:color="auto" w:sz="4" w:space="0"/>
              <w:right w:val="single" w:color="auto" w:sz="4" w:space="0"/>
            </w:tcBorders>
            <w:vAlign w:val="center"/>
          </w:tcPr>
          <w:p>
            <w:pPr>
              <w:widowControl/>
              <w:rPr>
                <w:rFonts w:ascii="宋体" w:hAnsi="宋体"/>
                <w:kern w:val="0"/>
                <w:szCs w:val="21"/>
              </w:rPr>
            </w:pPr>
            <w:r>
              <w:rPr>
                <w:rFonts w:hint="eastAsia" w:ascii="宋体" w:hAnsi="宋体"/>
                <w:kern w:val="0"/>
                <w:szCs w:val="21"/>
              </w:rPr>
              <w:t>服务人员专业水平较好，能严格按照</w:t>
            </w:r>
            <w:r>
              <w:rPr>
                <w:rFonts w:hint="eastAsia" w:ascii="宋体" w:hAnsi="宋体"/>
                <w:szCs w:val="21"/>
              </w:rPr>
              <w:t>相关要求操作，具备较好的现场沟通能力，专业水平一般的，酌情扣分。</w:t>
            </w:r>
          </w:p>
        </w:tc>
        <w:tc>
          <w:tcPr>
            <w:tcW w:w="948" w:type="dxa"/>
            <w:tcBorders>
              <w:top w:val="single" w:color="auto" w:sz="8" w:space="0"/>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10</w:t>
            </w:r>
          </w:p>
        </w:tc>
        <w:tc>
          <w:tcPr>
            <w:tcW w:w="1454" w:type="dxa"/>
            <w:tcBorders>
              <w:top w:val="single" w:color="auto" w:sz="8" w:space="0"/>
              <w:left w:val="nil"/>
              <w:bottom w:val="single" w:color="auto" w:sz="4" w:space="0"/>
              <w:right w:val="single" w:color="auto" w:sz="8" w:space="0"/>
            </w:tcBorders>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trHeight w:val="536" w:hRule="atLeast"/>
          <w:jc w:val="center"/>
        </w:trPr>
        <w:tc>
          <w:tcPr>
            <w:tcW w:w="1767" w:type="dxa"/>
            <w:vMerge w:val="continue"/>
            <w:tcBorders>
              <w:left w:val="single" w:color="auto" w:sz="8" w:space="0"/>
              <w:right w:val="single" w:color="auto" w:sz="4" w:space="0"/>
            </w:tcBorders>
            <w:vAlign w:val="center"/>
          </w:tcPr>
          <w:p>
            <w:pPr>
              <w:jc w:val="center"/>
              <w:rPr>
                <w:rFonts w:ascii="宋体" w:hAnsi="宋体"/>
                <w:kern w:val="0"/>
                <w:szCs w:val="21"/>
              </w:rPr>
            </w:pPr>
          </w:p>
        </w:tc>
        <w:tc>
          <w:tcPr>
            <w:tcW w:w="1722" w:type="dxa"/>
            <w:tcBorders>
              <w:top w:val="nil"/>
              <w:left w:val="single" w:color="auto" w:sz="4" w:space="0"/>
              <w:bottom w:val="single" w:color="auto" w:sz="4" w:space="0"/>
              <w:right w:val="single" w:color="auto" w:sz="4" w:space="0"/>
            </w:tcBorders>
            <w:vAlign w:val="center"/>
          </w:tcPr>
          <w:p>
            <w:pPr>
              <w:widowControl/>
              <w:rPr>
                <w:rFonts w:ascii="宋体" w:hAnsi="宋体"/>
                <w:kern w:val="0"/>
                <w:szCs w:val="21"/>
              </w:rPr>
            </w:pPr>
            <w:r>
              <w:rPr>
                <w:rFonts w:hint="eastAsia" w:ascii="宋体" w:hAnsi="宋体"/>
                <w:kern w:val="0"/>
                <w:szCs w:val="21"/>
              </w:rPr>
              <w:t>服务态度</w:t>
            </w:r>
          </w:p>
        </w:tc>
        <w:tc>
          <w:tcPr>
            <w:tcW w:w="3685" w:type="dxa"/>
            <w:gridSpan w:val="2"/>
            <w:tcBorders>
              <w:top w:val="nil"/>
              <w:left w:val="single" w:color="auto" w:sz="4" w:space="0"/>
              <w:bottom w:val="single" w:color="auto" w:sz="4" w:space="0"/>
              <w:right w:val="single" w:color="auto" w:sz="4" w:space="0"/>
            </w:tcBorders>
            <w:vAlign w:val="center"/>
          </w:tcPr>
          <w:p>
            <w:pPr>
              <w:widowControl/>
              <w:rPr>
                <w:rFonts w:ascii="宋体" w:hAnsi="宋体"/>
                <w:kern w:val="0"/>
                <w:szCs w:val="21"/>
              </w:rPr>
            </w:pPr>
            <w:r>
              <w:rPr>
                <w:rFonts w:hint="eastAsia" w:ascii="宋体" w:hAnsi="宋体"/>
                <w:kern w:val="0"/>
                <w:szCs w:val="21"/>
              </w:rPr>
              <w:t>服务人员应提供热情、周到、主动服务，态度端正，响应及时。服务态度一般或较差的，酌情扣分。</w:t>
            </w:r>
          </w:p>
        </w:tc>
        <w:tc>
          <w:tcPr>
            <w:tcW w:w="948"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10</w:t>
            </w:r>
          </w:p>
        </w:tc>
        <w:tc>
          <w:tcPr>
            <w:tcW w:w="1454" w:type="dxa"/>
            <w:tcBorders>
              <w:top w:val="nil"/>
              <w:left w:val="single" w:color="auto" w:sz="4" w:space="0"/>
              <w:bottom w:val="single" w:color="auto" w:sz="4" w:space="0"/>
              <w:right w:val="single" w:color="auto" w:sz="8" w:space="0"/>
            </w:tcBorders>
            <w:vAlign w:val="center"/>
          </w:tcPr>
          <w:p>
            <w:pPr>
              <w:widowControl/>
              <w:rPr>
                <w:rFonts w:ascii="宋体" w:hAnsi="宋体"/>
                <w:kern w:val="0"/>
                <w:szCs w:val="21"/>
              </w:rPr>
            </w:pPr>
          </w:p>
        </w:tc>
      </w:tr>
      <w:tr>
        <w:tblPrEx>
          <w:tblCellMar>
            <w:top w:w="0" w:type="dxa"/>
            <w:left w:w="108" w:type="dxa"/>
            <w:bottom w:w="0" w:type="dxa"/>
            <w:right w:w="108" w:type="dxa"/>
          </w:tblCellMar>
        </w:tblPrEx>
        <w:trPr>
          <w:trHeight w:val="720" w:hRule="atLeast"/>
          <w:jc w:val="center"/>
        </w:trPr>
        <w:tc>
          <w:tcPr>
            <w:tcW w:w="1767" w:type="dxa"/>
            <w:vMerge w:val="continue"/>
            <w:tcBorders>
              <w:left w:val="single" w:color="auto" w:sz="8" w:space="0"/>
              <w:bottom w:val="single" w:color="auto" w:sz="4" w:space="0"/>
              <w:right w:val="single" w:color="auto" w:sz="4" w:space="0"/>
            </w:tcBorders>
            <w:vAlign w:val="center"/>
          </w:tcPr>
          <w:p>
            <w:pPr>
              <w:widowControl/>
              <w:jc w:val="center"/>
              <w:rPr>
                <w:rFonts w:ascii="宋体" w:hAnsi="宋体"/>
                <w:kern w:val="0"/>
                <w:szCs w:val="21"/>
              </w:rPr>
            </w:pPr>
          </w:p>
        </w:tc>
        <w:tc>
          <w:tcPr>
            <w:tcW w:w="1722" w:type="dxa"/>
            <w:tcBorders>
              <w:top w:val="nil"/>
              <w:left w:val="single" w:color="auto" w:sz="4" w:space="0"/>
              <w:bottom w:val="single" w:color="auto" w:sz="4" w:space="0"/>
              <w:right w:val="single" w:color="auto" w:sz="4" w:space="0"/>
            </w:tcBorders>
            <w:vAlign w:val="center"/>
          </w:tcPr>
          <w:p>
            <w:pPr>
              <w:widowControl/>
              <w:rPr>
                <w:rFonts w:ascii="宋体" w:hAnsi="宋体"/>
                <w:kern w:val="0"/>
                <w:szCs w:val="21"/>
              </w:rPr>
            </w:pPr>
            <w:r>
              <w:rPr>
                <w:rFonts w:hint="eastAsia" w:ascii="宋体" w:hAnsi="宋体"/>
                <w:kern w:val="0"/>
                <w:szCs w:val="21"/>
              </w:rPr>
              <w:t>人员配备</w:t>
            </w:r>
          </w:p>
        </w:tc>
        <w:tc>
          <w:tcPr>
            <w:tcW w:w="3685" w:type="dxa"/>
            <w:gridSpan w:val="2"/>
            <w:tcBorders>
              <w:top w:val="nil"/>
              <w:left w:val="single" w:color="auto" w:sz="4" w:space="0"/>
              <w:bottom w:val="single" w:color="auto" w:sz="4" w:space="0"/>
              <w:right w:val="single" w:color="auto" w:sz="4" w:space="0"/>
            </w:tcBorders>
            <w:vAlign w:val="center"/>
          </w:tcPr>
          <w:p>
            <w:pPr>
              <w:widowControl/>
              <w:rPr>
                <w:rFonts w:ascii="宋体" w:hAnsi="宋体"/>
                <w:kern w:val="0"/>
                <w:szCs w:val="21"/>
              </w:rPr>
            </w:pPr>
            <w:r>
              <w:rPr>
                <w:rFonts w:hint="eastAsia" w:ascii="宋体" w:hAnsi="宋体"/>
                <w:kern w:val="0"/>
                <w:szCs w:val="21"/>
              </w:rPr>
              <w:t>服务单位在服务期间安排的人员应充足、配置合理，如有更换人员的，必须通知委托单位。否则酌情扣分。</w:t>
            </w:r>
          </w:p>
        </w:tc>
        <w:tc>
          <w:tcPr>
            <w:tcW w:w="948"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20</w:t>
            </w:r>
          </w:p>
        </w:tc>
        <w:tc>
          <w:tcPr>
            <w:tcW w:w="1454" w:type="dxa"/>
            <w:tcBorders>
              <w:top w:val="nil"/>
              <w:left w:val="single" w:color="auto" w:sz="4" w:space="0"/>
              <w:bottom w:val="single" w:color="auto" w:sz="4" w:space="0"/>
              <w:right w:val="single" w:color="auto" w:sz="8" w:space="0"/>
            </w:tcBorders>
            <w:vAlign w:val="center"/>
          </w:tcPr>
          <w:p>
            <w:pPr>
              <w:widowControl/>
              <w:rPr>
                <w:rFonts w:ascii="宋体" w:hAnsi="宋体"/>
                <w:kern w:val="0"/>
                <w:szCs w:val="21"/>
              </w:rPr>
            </w:pPr>
          </w:p>
        </w:tc>
      </w:tr>
      <w:tr>
        <w:tblPrEx>
          <w:tblCellMar>
            <w:top w:w="0" w:type="dxa"/>
            <w:left w:w="108" w:type="dxa"/>
            <w:bottom w:w="0" w:type="dxa"/>
            <w:right w:w="108" w:type="dxa"/>
          </w:tblCellMar>
        </w:tblPrEx>
        <w:trPr>
          <w:trHeight w:val="720" w:hRule="atLeast"/>
          <w:jc w:val="center"/>
        </w:trPr>
        <w:tc>
          <w:tcPr>
            <w:tcW w:w="1767" w:type="dxa"/>
            <w:tcBorders>
              <w:top w:val="single" w:color="auto" w:sz="4" w:space="0"/>
              <w:left w:val="single" w:color="auto" w:sz="8" w:space="0"/>
              <w:right w:val="single" w:color="auto" w:sz="4" w:space="0"/>
            </w:tcBorders>
            <w:vAlign w:val="center"/>
          </w:tcPr>
          <w:p>
            <w:pPr>
              <w:jc w:val="center"/>
              <w:rPr>
                <w:rFonts w:ascii="宋体" w:hAnsi="宋体"/>
                <w:kern w:val="0"/>
                <w:szCs w:val="21"/>
              </w:rPr>
            </w:pPr>
            <w:r>
              <w:rPr>
                <w:rFonts w:hint="eastAsia" w:ascii="宋体" w:hAnsi="宋体"/>
                <w:kern w:val="0"/>
                <w:szCs w:val="21"/>
              </w:rPr>
              <w:t>服务时效（20%）</w:t>
            </w:r>
          </w:p>
        </w:tc>
        <w:tc>
          <w:tcPr>
            <w:tcW w:w="1722"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kern w:val="0"/>
                <w:szCs w:val="21"/>
              </w:rPr>
              <w:t>服务时效</w:t>
            </w:r>
          </w:p>
        </w:tc>
        <w:tc>
          <w:tcPr>
            <w:tcW w:w="3685" w:type="dxa"/>
            <w:gridSpan w:val="2"/>
            <w:tcBorders>
              <w:top w:val="nil"/>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s="宋体"/>
                <w:kern w:val="0"/>
                <w:szCs w:val="21"/>
              </w:rPr>
              <w:t>按合同约定的及时提供相关服务，不及时的，酌情扣分；其中属于服务单位主观原因，延误时限较长，影响工作进程并造成重大不良影响的，本项不得分。</w:t>
            </w:r>
          </w:p>
        </w:tc>
        <w:tc>
          <w:tcPr>
            <w:tcW w:w="948"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20</w:t>
            </w:r>
          </w:p>
        </w:tc>
        <w:tc>
          <w:tcPr>
            <w:tcW w:w="1454" w:type="dxa"/>
            <w:tcBorders>
              <w:top w:val="nil"/>
              <w:left w:val="single" w:color="auto" w:sz="4" w:space="0"/>
              <w:bottom w:val="single" w:color="auto" w:sz="4" w:space="0"/>
              <w:right w:val="single" w:color="auto" w:sz="8" w:space="0"/>
            </w:tcBorders>
            <w:vAlign w:val="center"/>
          </w:tcPr>
          <w:p>
            <w:pPr>
              <w:widowControl/>
              <w:rPr>
                <w:rFonts w:ascii="宋体" w:hAnsi="宋体"/>
                <w:kern w:val="0"/>
                <w:szCs w:val="21"/>
              </w:rPr>
            </w:pPr>
          </w:p>
        </w:tc>
      </w:tr>
      <w:tr>
        <w:tblPrEx>
          <w:tblCellMar>
            <w:top w:w="0" w:type="dxa"/>
            <w:left w:w="108" w:type="dxa"/>
            <w:bottom w:w="0" w:type="dxa"/>
            <w:right w:w="108" w:type="dxa"/>
          </w:tblCellMar>
        </w:tblPrEx>
        <w:trPr>
          <w:trHeight w:val="640" w:hRule="atLeast"/>
          <w:jc w:val="center"/>
        </w:trPr>
        <w:tc>
          <w:tcPr>
            <w:tcW w:w="1767" w:type="dxa"/>
            <w:vMerge w:val="restart"/>
            <w:tcBorders>
              <w:top w:val="single" w:color="auto" w:sz="4" w:space="0"/>
              <w:left w:val="single" w:color="auto" w:sz="8" w:space="0"/>
              <w:bottom w:val="nil"/>
              <w:right w:val="single" w:color="auto" w:sz="4" w:space="0"/>
            </w:tcBorders>
            <w:vAlign w:val="center"/>
          </w:tcPr>
          <w:p>
            <w:pPr>
              <w:widowControl/>
              <w:jc w:val="center"/>
              <w:rPr>
                <w:rFonts w:ascii="宋体" w:hAnsi="宋体"/>
                <w:kern w:val="0"/>
                <w:szCs w:val="21"/>
              </w:rPr>
            </w:pPr>
            <w:r>
              <w:rPr>
                <w:rFonts w:ascii="宋体" w:hAnsi="宋体"/>
                <w:kern w:val="0"/>
                <w:szCs w:val="21"/>
              </w:rPr>
              <w:t>服务</w:t>
            </w:r>
            <w:r>
              <w:rPr>
                <w:rFonts w:hint="eastAsia" w:ascii="宋体" w:hAnsi="宋体"/>
                <w:kern w:val="0"/>
                <w:szCs w:val="21"/>
              </w:rPr>
              <w:t>质量</w:t>
            </w:r>
            <w:r>
              <w:rPr>
                <w:rFonts w:ascii="宋体" w:hAnsi="宋体"/>
                <w:kern w:val="0"/>
                <w:szCs w:val="21"/>
              </w:rPr>
              <w:t>（40%）</w:t>
            </w:r>
          </w:p>
        </w:tc>
        <w:tc>
          <w:tcPr>
            <w:tcW w:w="1722"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cs="宋体"/>
                <w:kern w:val="0"/>
                <w:szCs w:val="21"/>
              </w:rPr>
              <w:t>工作质量</w:t>
            </w:r>
          </w:p>
        </w:tc>
        <w:tc>
          <w:tcPr>
            <w:tcW w:w="3685" w:type="dxa"/>
            <w:gridSpan w:val="2"/>
            <w:tcBorders>
              <w:top w:val="nil"/>
              <w:left w:val="single" w:color="auto" w:sz="4" w:space="0"/>
              <w:bottom w:val="single" w:color="auto" w:sz="4" w:space="0"/>
              <w:right w:val="single" w:color="auto" w:sz="4" w:space="0"/>
            </w:tcBorders>
            <w:vAlign w:val="center"/>
          </w:tcPr>
          <w:p>
            <w:pPr>
              <w:widowControl/>
              <w:rPr>
                <w:rFonts w:ascii="宋体" w:hAnsi="宋体"/>
                <w:kern w:val="0"/>
                <w:szCs w:val="21"/>
              </w:rPr>
            </w:pPr>
            <w:r>
              <w:rPr>
                <w:rFonts w:hint="eastAsia" w:ascii="宋体" w:hAnsi="宋体" w:cs="宋体"/>
                <w:kern w:val="0"/>
                <w:szCs w:val="21"/>
              </w:rPr>
              <w:t>按照法律法规规定的工作内容和本项目合同约定的服务要求，提供优质、高效的服务工作。相关工作内容执行不到位，酌情扣分。</w:t>
            </w:r>
          </w:p>
        </w:tc>
        <w:tc>
          <w:tcPr>
            <w:tcW w:w="948"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20</w:t>
            </w:r>
          </w:p>
        </w:tc>
        <w:tc>
          <w:tcPr>
            <w:tcW w:w="1454" w:type="dxa"/>
            <w:tcBorders>
              <w:top w:val="nil"/>
              <w:left w:val="single" w:color="auto" w:sz="4" w:space="0"/>
              <w:bottom w:val="single" w:color="auto" w:sz="4" w:space="0"/>
              <w:right w:val="single" w:color="auto" w:sz="8" w:space="0"/>
            </w:tcBorders>
            <w:vAlign w:val="center"/>
          </w:tcPr>
          <w:p>
            <w:pPr>
              <w:widowControl/>
              <w:rPr>
                <w:rFonts w:ascii="宋体" w:hAnsi="宋体"/>
                <w:kern w:val="0"/>
                <w:szCs w:val="21"/>
              </w:rPr>
            </w:pPr>
          </w:p>
        </w:tc>
      </w:tr>
      <w:tr>
        <w:tblPrEx>
          <w:tblCellMar>
            <w:top w:w="0" w:type="dxa"/>
            <w:left w:w="108" w:type="dxa"/>
            <w:bottom w:w="0" w:type="dxa"/>
            <w:right w:w="108" w:type="dxa"/>
          </w:tblCellMar>
        </w:tblPrEx>
        <w:trPr>
          <w:trHeight w:val="706" w:hRule="atLeast"/>
          <w:jc w:val="center"/>
        </w:trPr>
        <w:tc>
          <w:tcPr>
            <w:tcW w:w="1767" w:type="dxa"/>
            <w:vMerge w:val="continue"/>
            <w:tcBorders>
              <w:left w:val="single" w:color="auto" w:sz="8" w:space="0"/>
              <w:right w:val="single" w:color="auto" w:sz="4" w:space="0"/>
            </w:tcBorders>
            <w:vAlign w:val="center"/>
          </w:tcPr>
          <w:p>
            <w:pPr>
              <w:jc w:val="left"/>
              <w:rPr>
                <w:rFonts w:ascii="宋体" w:hAnsi="宋体"/>
                <w:kern w:val="0"/>
                <w:szCs w:val="21"/>
              </w:rPr>
            </w:pPr>
          </w:p>
        </w:tc>
        <w:tc>
          <w:tcPr>
            <w:tcW w:w="1722" w:type="dxa"/>
            <w:tcBorders>
              <w:top w:val="nil"/>
              <w:left w:val="single" w:color="auto" w:sz="4" w:space="0"/>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szCs w:val="21"/>
              </w:rPr>
              <w:t>应急服务能力</w:t>
            </w:r>
          </w:p>
        </w:tc>
        <w:tc>
          <w:tcPr>
            <w:tcW w:w="3685" w:type="dxa"/>
            <w:gridSpan w:val="2"/>
            <w:tcBorders>
              <w:top w:val="nil"/>
              <w:left w:val="single" w:color="auto" w:sz="4" w:space="0"/>
              <w:bottom w:val="single" w:color="auto" w:sz="4" w:space="0"/>
              <w:right w:val="single" w:color="auto" w:sz="4" w:space="0"/>
            </w:tcBorders>
            <w:vAlign w:val="center"/>
          </w:tcPr>
          <w:p>
            <w:pPr>
              <w:widowControl/>
              <w:rPr>
                <w:rFonts w:ascii="宋体" w:hAnsi="宋体"/>
                <w:kern w:val="0"/>
                <w:szCs w:val="21"/>
              </w:rPr>
            </w:pPr>
            <w:r>
              <w:rPr>
                <w:rFonts w:hint="eastAsia" w:ascii="宋体" w:hAnsi="宋体" w:cs="宋体"/>
                <w:kern w:val="0"/>
                <w:szCs w:val="21"/>
              </w:rPr>
              <w:t>针对甲方的应急需求，积极配合满足</w:t>
            </w:r>
            <w:r>
              <w:rPr>
                <w:rFonts w:hint="eastAsia" w:ascii="宋体" w:hAnsi="宋体"/>
                <w:kern w:val="0"/>
                <w:szCs w:val="21"/>
              </w:rPr>
              <w:t>，如拖延或者服务质量不高的，酌情扣分。</w:t>
            </w:r>
          </w:p>
        </w:tc>
        <w:tc>
          <w:tcPr>
            <w:tcW w:w="948"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10</w:t>
            </w:r>
          </w:p>
        </w:tc>
        <w:tc>
          <w:tcPr>
            <w:tcW w:w="1454" w:type="dxa"/>
            <w:tcBorders>
              <w:top w:val="nil"/>
              <w:left w:val="single" w:color="auto" w:sz="4" w:space="0"/>
              <w:bottom w:val="single" w:color="auto" w:sz="4" w:space="0"/>
              <w:right w:val="single" w:color="auto" w:sz="8" w:space="0"/>
            </w:tcBorders>
            <w:vAlign w:val="center"/>
          </w:tcPr>
          <w:p>
            <w:pPr>
              <w:widowControl/>
              <w:jc w:val="left"/>
              <w:rPr>
                <w:rFonts w:ascii="宋体" w:hAnsi="宋体"/>
                <w:kern w:val="0"/>
                <w:szCs w:val="21"/>
              </w:rPr>
            </w:pPr>
          </w:p>
        </w:tc>
      </w:tr>
      <w:tr>
        <w:tblPrEx>
          <w:tblCellMar>
            <w:top w:w="0" w:type="dxa"/>
            <w:left w:w="108" w:type="dxa"/>
            <w:bottom w:w="0" w:type="dxa"/>
            <w:right w:w="108" w:type="dxa"/>
          </w:tblCellMar>
        </w:tblPrEx>
        <w:trPr>
          <w:trHeight w:val="688" w:hRule="atLeast"/>
          <w:jc w:val="center"/>
        </w:trPr>
        <w:tc>
          <w:tcPr>
            <w:tcW w:w="1767" w:type="dxa"/>
            <w:vMerge w:val="continue"/>
            <w:tcBorders>
              <w:left w:val="single" w:color="auto" w:sz="8" w:space="0"/>
              <w:bottom w:val="nil"/>
              <w:right w:val="single" w:color="auto" w:sz="4" w:space="0"/>
            </w:tcBorders>
            <w:vAlign w:val="center"/>
          </w:tcPr>
          <w:p>
            <w:pPr>
              <w:jc w:val="left"/>
              <w:rPr>
                <w:rFonts w:ascii="宋体" w:hAnsi="宋体"/>
                <w:kern w:val="0"/>
                <w:szCs w:val="21"/>
              </w:rPr>
            </w:pPr>
          </w:p>
        </w:tc>
        <w:tc>
          <w:tcPr>
            <w:tcW w:w="172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Cs w:val="21"/>
              </w:rPr>
            </w:pPr>
            <w:r>
              <w:rPr>
                <w:rFonts w:hint="eastAsia" w:ascii="宋体" w:hAnsi="宋体" w:cs="宋体"/>
                <w:kern w:val="0"/>
                <w:szCs w:val="21"/>
              </w:rPr>
              <w:t>遵守承诺</w:t>
            </w:r>
          </w:p>
        </w:tc>
        <w:tc>
          <w:tcPr>
            <w:tcW w:w="368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kern w:val="0"/>
                <w:szCs w:val="21"/>
              </w:rPr>
            </w:pPr>
            <w:r>
              <w:rPr>
                <w:rFonts w:hint="eastAsia" w:ascii="宋体" w:hAnsi="宋体" w:cs="宋体"/>
                <w:kern w:val="0"/>
                <w:szCs w:val="21"/>
              </w:rPr>
              <w:t>遵守服务承诺、保密承诺。执行不到位的，酌情扣分，情节严重产生不良后果的，本项不得分。</w:t>
            </w:r>
          </w:p>
        </w:tc>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10</w:t>
            </w:r>
          </w:p>
        </w:tc>
        <w:tc>
          <w:tcPr>
            <w:tcW w:w="1454" w:type="dxa"/>
            <w:tcBorders>
              <w:top w:val="single" w:color="auto" w:sz="4" w:space="0"/>
              <w:left w:val="single" w:color="auto" w:sz="4" w:space="0"/>
              <w:bottom w:val="single" w:color="auto" w:sz="4" w:space="0"/>
              <w:right w:val="single" w:color="auto" w:sz="8" w:space="0"/>
            </w:tcBorders>
            <w:vAlign w:val="center"/>
          </w:tcPr>
          <w:p>
            <w:pPr>
              <w:widowControl/>
              <w:rPr>
                <w:rFonts w:ascii="宋体" w:hAnsi="宋体"/>
                <w:kern w:val="0"/>
                <w:szCs w:val="21"/>
              </w:rPr>
            </w:pPr>
          </w:p>
        </w:tc>
      </w:tr>
      <w:tr>
        <w:tblPrEx>
          <w:tblCellMar>
            <w:top w:w="0" w:type="dxa"/>
            <w:left w:w="108" w:type="dxa"/>
            <w:bottom w:w="0" w:type="dxa"/>
            <w:right w:w="108" w:type="dxa"/>
          </w:tblCellMar>
        </w:tblPrEx>
        <w:trPr>
          <w:trHeight w:val="271" w:hRule="atLeast"/>
          <w:jc w:val="center"/>
        </w:trPr>
        <w:tc>
          <w:tcPr>
            <w:tcW w:w="7174" w:type="dxa"/>
            <w:gridSpan w:val="4"/>
            <w:tcBorders>
              <w:top w:val="single" w:color="auto" w:sz="4" w:space="0"/>
              <w:left w:val="single" w:color="auto" w:sz="8" w:space="0"/>
              <w:right w:val="single" w:color="auto" w:sz="4" w:space="0"/>
            </w:tcBorders>
            <w:vAlign w:val="center"/>
          </w:tcPr>
          <w:p>
            <w:pPr>
              <w:widowControl/>
              <w:jc w:val="center"/>
              <w:rPr>
                <w:rFonts w:ascii="宋体" w:hAnsi="宋体"/>
                <w:kern w:val="0"/>
                <w:szCs w:val="21"/>
              </w:rPr>
            </w:pPr>
            <w:r>
              <w:rPr>
                <w:rFonts w:ascii="宋体" w:hAnsi="宋体"/>
                <w:kern w:val="0"/>
                <w:szCs w:val="21"/>
              </w:rPr>
              <w:t>合计</w:t>
            </w:r>
          </w:p>
        </w:tc>
        <w:tc>
          <w:tcPr>
            <w:tcW w:w="948"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p>
        </w:tc>
        <w:tc>
          <w:tcPr>
            <w:tcW w:w="1454" w:type="dxa"/>
            <w:tcBorders>
              <w:top w:val="single" w:color="auto" w:sz="4" w:space="0"/>
              <w:left w:val="nil"/>
              <w:bottom w:val="single" w:color="auto" w:sz="4" w:space="0"/>
              <w:right w:val="single" w:color="auto" w:sz="8" w:space="0"/>
            </w:tcBorders>
            <w:vAlign w:val="center"/>
          </w:tcPr>
          <w:p>
            <w:pPr>
              <w:widowControl/>
              <w:jc w:val="left"/>
              <w:rPr>
                <w:rFonts w:ascii="宋体" w:hAnsi="宋体"/>
                <w:kern w:val="0"/>
                <w:szCs w:val="21"/>
              </w:rPr>
            </w:pPr>
          </w:p>
        </w:tc>
      </w:tr>
      <w:tr>
        <w:tblPrEx>
          <w:tblCellMar>
            <w:top w:w="0" w:type="dxa"/>
            <w:left w:w="108" w:type="dxa"/>
            <w:bottom w:w="0" w:type="dxa"/>
            <w:right w:w="108" w:type="dxa"/>
          </w:tblCellMar>
        </w:tblPrEx>
        <w:trPr>
          <w:trHeight w:val="606" w:hRule="atLeast"/>
          <w:jc w:val="center"/>
        </w:trPr>
        <w:tc>
          <w:tcPr>
            <w:tcW w:w="1767" w:type="dxa"/>
            <w:tcBorders>
              <w:top w:val="single" w:color="auto" w:sz="4" w:space="0"/>
              <w:left w:val="single" w:color="auto" w:sz="8"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一票否决</w:t>
            </w:r>
          </w:p>
        </w:tc>
        <w:tc>
          <w:tcPr>
            <w:tcW w:w="1722"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Cs w:val="21"/>
              </w:rPr>
            </w:pPr>
            <w:r>
              <w:rPr>
                <w:rFonts w:ascii="宋体" w:hAnsi="宋体"/>
                <w:kern w:val="0"/>
                <w:szCs w:val="21"/>
              </w:rPr>
              <w:t>有无违反廉</w:t>
            </w:r>
            <w:r>
              <w:rPr>
                <w:rFonts w:hint="eastAsia" w:ascii="宋体" w:hAnsi="宋体"/>
                <w:kern w:val="0"/>
                <w:szCs w:val="21"/>
              </w:rPr>
              <w:t>洁</w:t>
            </w:r>
            <w:r>
              <w:rPr>
                <w:rFonts w:ascii="宋体" w:hAnsi="宋体"/>
                <w:kern w:val="0"/>
                <w:szCs w:val="21"/>
              </w:rPr>
              <w:t>要求的行为</w:t>
            </w:r>
          </w:p>
        </w:tc>
        <w:tc>
          <w:tcPr>
            <w:tcW w:w="3685" w:type="dxa"/>
            <w:gridSpan w:val="2"/>
            <w:tcBorders>
              <w:top w:val="single" w:color="auto" w:sz="4" w:space="0"/>
              <w:left w:val="nil"/>
              <w:right w:val="single" w:color="auto" w:sz="4" w:space="0"/>
            </w:tcBorders>
            <w:vAlign w:val="center"/>
          </w:tcPr>
          <w:p>
            <w:pPr>
              <w:widowControl/>
              <w:jc w:val="left"/>
              <w:rPr>
                <w:rFonts w:ascii="宋体" w:hAnsi="宋体"/>
                <w:kern w:val="0"/>
                <w:szCs w:val="21"/>
              </w:rPr>
            </w:pPr>
            <w:r>
              <w:rPr>
                <w:rFonts w:ascii="宋体" w:hAnsi="宋体"/>
                <w:kern w:val="0"/>
                <w:szCs w:val="21"/>
              </w:rPr>
              <w:t>出现此类事项，直接判定为不合格供应商</w:t>
            </w:r>
            <w:r>
              <w:rPr>
                <w:rFonts w:hint="eastAsia" w:ascii="宋体" w:hAnsi="宋体"/>
                <w:kern w:val="0"/>
                <w:szCs w:val="21"/>
              </w:rPr>
              <w:t>。</w:t>
            </w:r>
          </w:p>
        </w:tc>
        <w:tc>
          <w:tcPr>
            <w:tcW w:w="2402" w:type="dxa"/>
            <w:gridSpan w:val="2"/>
            <w:tcBorders>
              <w:top w:val="single" w:color="auto" w:sz="4" w:space="0"/>
              <w:left w:val="nil"/>
              <w:bottom w:val="single" w:color="auto" w:sz="4" w:space="0"/>
              <w:right w:val="single" w:color="auto" w:sz="8" w:space="0"/>
            </w:tcBorders>
            <w:vAlign w:val="center"/>
          </w:tcPr>
          <w:p>
            <w:pPr>
              <w:widowControl/>
              <w:jc w:val="center"/>
              <w:rPr>
                <w:rFonts w:ascii="宋体" w:hAnsi="宋体"/>
                <w:kern w:val="0"/>
                <w:szCs w:val="21"/>
              </w:rPr>
            </w:pPr>
            <w:r>
              <w:rPr>
                <w:rFonts w:ascii="宋体" w:hAnsi="宋体"/>
                <w:szCs w:val="21"/>
              </w:rPr>
              <w:t>有（）无（）</w:t>
            </w:r>
          </w:p>
        </w:tc>
      </w:tr>
      <w:tr>
        <w:tblPrEx>
          <w:tblCellMar>
            <w:top w:w="0" w:type="dxa"/>
            <w:left w:w="108" w:type="dxa"/>
            <w:bottom w:w="0" w:type="dxa"/>
            <w:right w:w="108" w:type="dxa"/>
          </w:tblCellMar>
        </w:tblPrEx>
        <w:trPr>
          <w:trHeight w:val="171" w:hRule="atLeast"/>
          <w:jc w:val="center"/>
        </w:trPr>
        <w:tc>
          <w:tcPr>
            <w:tcW w:w="1767"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评价结果</w:t>
            </w:r>
          </w:p>
        </w:tc>
        <w:tc>
          <w:tcPr>
            <w:tcW w:w="7809" w:type="dxa"/>
            <w:gridSpan w:val="5"/>
            <w:tcBorders>
              <w:top w:val="single" w:color="auto" w:sz="4" w:space="0"/>
              <w:left w:val="nil"/>
              <w:bottom w:val="single" w:color="auto" w:sz="4" w:space="0"/>
              <w:right w:val="single" w:color="auto" w:sz="8" w:space="0"/>
            </w:tcBorders>
            <w:vAlign w:val="center"/>
          </w:tcPr>
          <w:p>
            <w:pPr>
              <w:widowControl/>
              <w:jc w:val="center"/>
              <w:rPr>
                <w:rFonts w:ascii="宋体" w:hAnsi="宋体"/>
                <w:kern w:val="0"/>
                <w:szCs w:val="21"/>
              </w:rPr>
            </w:pPr>
            <w:r>
              <w:rPr>
                <w:rFonts w:ascii="宋体" w:hAnsi="宋体"/>
                <w:szCs w:val="21"/>
              </w:rPr>
              <w:t>优秀（）良好（）合格（）不合格（）</w:t>
            </w:r>
          </w:p>
        </w:tc>
      </w:tr>
      <w:tr>
        <w:tblPrEx>
          <w:tblCellMar>
            <w:top w:w="0" w:type="dxa"/>
            <w:left w:w="108" w:type="dxa"/>
            <w:bottom w:w="0" w:type="dxa"/>
            <w:right w:w="108" w:type="dxa"/>
          </w:tblCellMar>
        </w:tblPrEx>
        <w:trPr>
          <w:trHeight w:val="275" w:hRule="atLeast"/>
          <w:jc w:val="center"/>
        </w:trPr>
        <w:tc>
          <w:tcPr>
            <w:tcW w:w="1767" w:type="dxa"/>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bCs/>
                <w:szCs w:val="21"/>
              </w:rPr>
              <w:t>经办人（</w:t>
            </w:r>
            <w:r>
              <w:rPr>
                <w:rFonts w:ascii="宋体" w:hAnsi="宋体"/>
                <w:bCs/>
                <w:szCs w:val="21"/>
                <w:lang w:val="en"/>
              </w:rPr>
              <w:t>签名</w:t>
            </w:r>
            <w:r>
              <w:rPr>
                <w:rFonts w:ascii="宋体" w:hAnsi="宋体"/>
                <w:bCs/>
                <w:szCs w:val="21"/>
              </w:rPr>
              <w:t>）</w:t>
            </w:r>
          </w:p>
        </w:tc>
        <w:tc>
          <w:tcPr>
            <w:tcW w:w="2722"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kern w:val="0"/>
                <w:szCs w:val="21"/>
              </w:rPr>
            </w:pPr>
          </w:p>
        </w:tc>
        <w:tc>
          <w:tcPr>
            <w:tcW w:w="2685"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bCs/>
                <w:szCs w:val="21"/>
              </w:rPr>
              <w:t>部门负责人（</w:t>
            </w:r>
            <w:r>
              <w:rPr>
                <w:rFonts w:ascii="宋体" w:hAnsi="宋体"/>
                <w:bCs/>
                <w:szCs w:val="21"/>
                <w:lang w:val="en"/>
              </w:rPr>
              <w:t>签名</w:t>
            </w:r>
            <w:r>
              <w:rPr>
                <w:rFonts w:ascii="宋体" w:hAnsi="宋体"/>
                <w:bCs/>
                <w:szCs w:val="21"/>
              </w:rPr>
              <w:t>）</w:t>
            </w:r>
          </w:p>
        </w:tc>
        <w:tc>
          <w:tcPr>
            <w:tcW w:w="2402" w:type="dxa"/>
            <w:gridSpan w:val="2"/>
            <w:tcBorders>
              <w:top w:val="single" w:color="auto" w:sz="4" w:space="0"/>
              <w:left w:val="nil"/>
              <w:bottom w:val="single" w:color="auto" w:sz="4" w:space="0"/>
              <w:right w:val="single" w:color="auto" w:sz="8" w:space="0"/>
            </w:tcBorders>
            <w:vAlign w:val="center"/>
          </w:tcPr>
          <w:p>
            <w:pPr>
              <w:widowControl/>
              <w:jc w:val="left"/>
              <w:rPr>
                <w:rFonts w:ascii="宋体" w:hAnsi="宋体"/>
                <w:kern w:val="0"/>
                <w:szCs w:val="21"/>
              </w:rPr>
            </w:pPr>
          </w:p>
        </w:tc>
      </w:tr>
      <w:tr>
        <w:tblPrEx>
          <w:tblCellMar>
            <w:top w:w="0" w:type="dxa"/>
            <w:left w:w="108" w:type="dxa"/>
            <w:bottom w:w="0" w:type="dxa"/>
            <w:right w:w="108" w:type="dxa"/>
          </w:tblCellMar>
        </w:tblPrEx>
        <w:trPr>
          <w:trHeight w:val="804" w:hRule="atLeast"/>
          <w:jc w:val="center"/>
        </w:trPr>
        <w:tc>
          <w:tcPr>
            <w:tcW w:w="176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宋体" w:hAnsi="宋体"/>
                <w:bCs/>
                <w:szCs w:val="21"/>
              </w:rPr>
            </w:pPr>
            <w:r>
              <w:rPr>
                <w:rFonts w:ascii="宋体" w:hAnsi="宋体"/>
                <w:bCs/>
                <w:szCs w:val="21"/>
              </w:rPr>
              <w:t>备注</w:t>
            </w:r>
          </w:p>
        </w:tc>
        <w:tc>
          <w:tcPr>
            <w:tcW w:w="7809" w:type="dxa"/>
            <w:gridSpan w:val="5"/>
            <w:tcBorders>
              <w:top w:val="single" w:color="auto" w:sz="4" w:space="0"/>
              <w:left w:val="nil"/>
              <w:bottom w:val="single" w:color="auto" w:sz="8" w:space="0"/>
              <w:right w:val="single" w:color="auto" w:sz="8" w:space="0"/>
            </w:tcBorders>
            <w:vAlign w:val="center"/>
          </w:tcPr>
          <w:p>
            <w:pPr>
              <w:rPr>
                <w:rFonts w:ascii="宋体" w:hAnsi="宋体"/>
                <w:szCs w:val="21"/>
              </w:rPr>
            </w:pPr>
            <w:r>
              <w:rPr>
                <w:rFonts w:hint="eastAsia" w:ascii="宋体" w:hAnsi="宋体"/>
                <w:szCs w:val="21"/>
              </w:rPr>
              <w:t>供应商评价分为四个等级：满分100分，其中优秀（得分﹥90分）、良好（80分＜得分≤90分）、合格（70分＜得分≤80分）、不合格（得分≤70分）。</w:t>
            </w:r>
          </w:p>
        </w:tc>
      </w:tr>
    </w:tbl>
    <w:p>
      <w:pPr>
        <w:tabs>
          <w:tab w:val="left" w:pos="0"/>
        </w:tabs>
        <w:spacing w:line="360" w:lineRule="auto"/>
        <w:rPr>
          <w:rFonts w:ascii="宋体" w:hAnsi="宋体"/>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106" w:bottom="1440" w:left="1440" w:header="851" w:footer="992" w:gutter="0"/>
          <w:pgNumType w:start="1"/>
          <w:cols w:space="425" w:num="1"/>
          <w:docGrid w:type="lines" w:linePitch="312" w:charSpace="0"/>
        </w:sectPr>
      </w:pPr>
    </w:p>
    <w:p>
      <w:pPr>
        <w:snapToGrid w:val="0"/>
        <w:spacing w:line="360" w:lineRule="auto"/>
        <w:jc w:val="left"/>
        <w:rPr>
          <w:sz w:val="24"/>
        </w:rPr>
      </w:pPr>
    </w:p>
    <w:sectPr>
      <w:headerReference r:id="rId9" w:type="default"/>
      <w:footerReference r:id="rId10" w:type="default"/>
      <w:pgSz w:w="11907" w:h="16840"/>
      <w:pgMar w:top="1134" w:right="1134" w:bottom="1418" w:left="1418" w:header="73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1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Arial Narrow">
    <w:altName w:val="DejaVu Sans"/>
    <w:panose1 w:val="020B0606020202030204"/>
    <w:charset w:val="00"/>
    <w:family w:val="swiss"/>
    <w:pitch w:val="default"/>
    <w:sig w:usb0="00000000" w:usb1="00000000" w:usb2="00000000" w:usb3="00000000" w:csb0="0000009F" w:csb1="00000000"/>
  </w:font>
  <w:font w:name="Arial Unicode MS">
    <w:altName w:val="DejaVu Sans"/>
    <w:panose1 w:val="020B0604020202020204"/>
    <w:charset w:val="86"/>
    <w:family w:val="swiss"/>
    <w:pitch w:val="default"/>
    <w:sig w:usb0="00000000" w:usb1="00000000" w:usb2="0000003F" w:usb3="00000000" w:csb0="003F01FF" w:csb1="00000000"/>
  </w:font>
  <w:font w:name="Tahoma">
    <w:altName w:val="DejaVu Sans"/>
    <w:panose1 w:val="020B0604030504040204"/>
    <w:charset w:val="00"/>
    <w:family w:val="swiss"/>
    <w:pitch w:val="default"/>
    <w:sig w:usb0="00000000" w:usb1="00000000" w:usb2="00000029" w:usb3="00000000" w:csb0="000101FF" w:csb1="00000000"/>
  </w:font>
  <w:font w:name="Verdana">
    <w:altName w:val="Ubuntu"/>
    <w:panose1 w:val="020B0604030504040204"/>
    <w:charset w:val="00"/>
    <w:family w:val="swiss"/>
    <w:pitch w:val="default"/>
    <w:sig w:usb0="00000000" w:usb1="00000000" w:usb2="00000010" w:usb3="00000000" w:csb0="0000019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874606"/>
      <w:docPartObj>
        <w:docPartGallery w:val="autotext"/>
      </w:docPartObj>
    </w:sdtPr>
    <w:sdtContent>
      <w:p>
        <w:pPr>
          <w:pStyle w:val="24"/>
          <w:jc w:val="center"/>
        </w:pPr>
        <w:r>
          <w:fldChar w:fldCharType="begin"/>
        </w:r>
        <w:r>
          <w:instrText xml:space="preserve">PAGE   \* MERGEFORMAT</w:instrText>
        </w:r>
        <w:r>
          <w:fldChar w:fldCharType="separate"/>
        </w:r>
        <w:r>
          <w:rPr>
            <w:lang w:val="zh-CN"/>
          </w:rPr>
          <w:t>1</w:t>
        </w:r>
        <w:r>
          <w:fldChar w:fldCharType="end"/>
        </w:r>
      </w:p>
    </w:sdtContent>
  </w:sdt>
  <w:p>
    <w:pPr>
      <w:pStyle w:val="24"/>
      <w:ind w:right="360" w:firstLine="416"/>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416"/>
      <w:jc w:val="center"/>
      <w:rPr>
        <w:b/>
        <w:sz w:val="15"/>
        <w:szCs w:val="15"/>
      </w:rPr>
    </w:pPr>
    <w:r>
      <w:rPr>
        <w:sz w:val="15"/>
      </w:rPr>
      <w:pict>
        <v:shape id="4099"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4"/>
                </w:pPr>
                <w:r>
                  <w:t>4</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1">
    <w:nsid w:val="00000004"/>
    <w:multiLevelType w:val="multilevel"/>
    <w:tmpl w:val="00000004"/>
    <w:lvl w:ilvl="0" w:tentative="0">
      <w:start w:val="1"/>
      <w:numFmt w:val="bullet"/>
      <w:pStyle w:val="60"/>
      <w:lvlText w:val=""/>
      <w:lvlJc w:val="left"/>
      <w:pPr>
        <w:tabs>
          <w:tab w:val="left" w:pos="980"/>
        </w:tabs>
        <w:ind w:left="98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4B1B17E0"/>
    <w:multiLevelType w:val="singleLevel"/>
    <w:tmpl w:val="4B1B17E0"/>
    <w:lvl w:ilvl="0" w:tentative="0">
      <w:start w:val="1"/>
      <w:numFmt w:val="bullet"/>
      <w:pStyle w:val="64"/>
      <w:lvlText w:val=""/>
      <w:lvlJc w:val="left"/>
      <w:pPr>
        <w:tabs>
          <w:tab w:val="left" w:pos="360"/>
        </w:tabs>
        <w:ind w:left="360" w:hanging="360"/>
      </w:pPr>
      <w:rPr>
        <w:rFonts w:hint="default" w:ascii="Wingdings" w:hAnsi="Wingdings"/>
        <w:sz w:val="15"/>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gutterAtTop/>
  <w:documentProtection w:enforcement="0"/>
  <w:defaultTabStop w:val="420"/>
  <w:drawingGridHorizontalSpacing w:val="105"/>
  <w:drawingGridVerticalSpacing w:val="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06AC1"/>
    <w:rsid w:val="000F4173"/>
    <w:rsid w:val="00106AC1"/>
    <w:rsid w:val="0012490E"/>
    <w:rsid w:val="00166344"/>
    <w:rsid w:val="0017688E"/>
    <w:rsid w:val="00227A30"/>
    <w:rsid w:val="004C3AE1"/>
    <w:rsid w:val="005E6FEC"/>
    <w:rsid w:val="00613F93"/>
    <w:rsid w:val="0066241B"/>
    <w:rsid w:val="008C392C"/>
    <w:rsid w:val="009F5BCD"/>
    <w:rsid w:val="00AA28BE"/>
    <w:rsid w:val="00AE7599"/>
    <w:rsid w:val="00BA4ED4"/>
    <w:rsid w:val="00BE17A1"/>
    <w:rsid w:val="00C05A0D"/>
    <w:rsid w:val="00C92418"/>
    <w:rsid w:val="00EE0EC1"/>
    <w:rsid w:val="34EEA8E8"/>
    <w:rsid w:val="3FFFD135"/>
    <w:rsid w:val="6FDD7CD1"/>
    <w:rsid w:val="777E3A9A"/>
    <w:rsid w:val="7BFE3E8D"/>
    <w:rsid w:val="7D672871"/>
    <w:rsid w:val="BDFFFBEE"/>
    <w:rsid w:val="CDEFA654"/>
    <w:rsid w:val="F1D52B95"/>
    <w:rsid w:val="FF7788F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jc w:val="center"/>
      <w:outlineLvl w:val="0"/>
    </w:pPr>
    <w:rPr>
      <w:b/>
      <w:kern w:val="44"/>
      <w:sz w:val="36"/>
      <w:szCs w:val="20"/>
    </w:rPr>
  </w:style>
  <w:style w:type="paragraph" w:styleId="5">
    <w:name w:val="heading 2"/>
    <w:basedOn w:val="1"/>
    <w:next w:val="6"/>
    <w:qFormat/>
    <w:uiPriority w:val="0"/>
    <w:pPr>
      <w:keepNext/>
      <w:keepLines/>
      <w:widowControl/>
      <w:adjustRightInd w:val="0"/>
      <w:snapToGrid w:val="0"/>
      <w:spacing w:beforeLines="200" w:afterLines="50" w:line="360" w:lineRule="auto"/>
      <w:jc w:val="center"/>
      <w:outlineLvl w:val="1"/>
    </w:pPr>
    <w:rPr>
      <w:rFonts w:ascii="Arial" w:hAnsi="Arial"/>
      <w:b/>
      <w:kern w:val="0"/>
      <w:sz w:val="32"/>
      <w:szCs w:val="20"/>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7"/>
    <w:next w:val="6"/>
    <w:qFormat/>
    <w:uiPriority w:val="0"/>
    <w:pPr>
      <w:spacing w:before="160" w:after="160" w:line="600" w:lineRule="exact"/>
      <w:jc w:val="left"/>
      <w:outlineLvl w:val="3"/>
    </w:pPr>
    <w:rPr>
      <w:rFonts w:ascii="宋体" w:hAnsi="宋体"/>
      <w:bCs w:val="0"/>
      <w:color w:val="000000"/>
      <w:spacing w:val="10"/>
      <w:kern w:val="24"/>
      <w:sz w:val="24"/>
    </w:rPr>
  </w:style>
  <w:style w:type="paragraph" w:styleId="9">
    <w:name w:val="heading 5"/>
    <w:basedOn w:val="1"/>
    <w:next w:val="6"/>
    <w:qFormat/>
    <w:uiPriority w:val="0"/>
    <w:pPr>
      <w:keepNext/>
      <w:keepLines/>
      <w:spacing w:before="160" w:after="160" w:line="540" w:lineRule="exact"/>
      <w:outlineLvl w:val="4"/>
    </w:pPr>
    <w:rPr>
      <w:spacing w:val="12"/>
      <w:sz w:val="24"/>
      <w:szCs w:val="20"/>
    </w:rPr>
  </w:style>
  <w:style w:type="paragraph" w:styleId="10">
    <w:name w:val="heading 6"/>
    <w:basedOn w:val="1"/>
    <w:next w:val="6"/>
    <w:qFormat/>
    <w:uiPriority w:val="0"/>
    <w:pPr>
      <w:keepNext/>
      <w:keepLines/>
      <w:numPr>
        <w:ilvl w:val="5"/>
        <w:numId w:val="1"/>
      </w:numPr>
      <w:spacing w:before="240" w:after="64" w:line="320" w:lineRule="auto"/>
      <w:jc w:val="left"/>
      <w:outlineLvl w:val="5"/>
    </w:pPr>
    <w:rPr>
      <w:rFonts w:ascii="Arial" w:hAnsi="Arial" w:eastAsia="黑体"/>
      <w:b/>
      <w:bCs/>
      <w:spacing w:val="6"/>
      <w:sz w:val="24"/>
    </w:rPr>
  </w:style>
  <w:style w:type="paragraph" w:styleId="11">
    <w:name w:val="heading 7"/>
    <w:basedOn w:val="1"/>
    <w:next w:val="6"/>
    <w:qFormat/>
    <w:uiPriority w:val="0"/>
    <w:pPr>
      <w:keepNext/>
      <w:keepLines/>
      <w:numPr>
        <w:ilvl w:val="6"/>
        <w:numId w:val="1"/>
      </w:numPr>
      <w:spacing w:before="240" w:after="64" w:line="320" w:lineRule="auto"/>
      <w:jc w:val="left"/>
      <w:outlineLvl w:val="6"/>
    </w:pPr>
    <w:rPr>
      <w:b/>
      <w:bCs/>
      <w:spacing w:val="6"/>
      <w:sz w:val="24"/>
    </w:rPr>
  </w:style>
  <w:style w:type="paragraph" w:styleId="12">
    <w:name w:val="heading 8"/>
    <w:basedOn w:val="1"/>
    <w:next w:val="6"/>
    <w:qFormat/>
    <w:uiPriority w:val="0"/>
    <w:pPr>
      <w:keepNext/>
      <w:keepLines/>
      <w:numPr>
        <w:ilvl w:val="7"/>
        <w:numId w:val="1"/>
      </w:numPr>
      <w:spacing w:before="240" w:after="64" w:line="320" w:lineRule="auto"/>
      <w:jc w:val="left"/>
      <w:outlineLvl w:val="7"/>
    </w:pPr>
    <w:rPr>
      <w:rFonts w:ascii="Arial" w:hAnsi="Arial" w:eastAsia="黑体"/>
      <w:spacing w:val="6"/>
      <w:sz w:val="24"/>
    </w:rPr>
  </w:style>
  <w:style w:type="paragraph" w:styleId="13">
    <w:name w:val="heading 9"/>
    <w:basedOn w:val="1"/>
    <w:next w:val="6"/>
    <w:qFormat/>
    <w:uiPriority w:val="0"/>
    <w:pPr>
      <w:keepNext/>
      <w:keepLines/>
      <w:numPr>
        <w:ilvl w:val="8"/>
        <w:numId w:val="1"/>
      </w:numPr>
      <w:spacing w:before="240" w:after="64" w:line="320" w:lineRule="auto"/>
      <w:jc w:val="left"/>
      <w:outlineLvl w:val="8"/>
    </w:pPr>
    <w:rPr>
      <w:rFonts w:ascii="Arial" w:hAnsi="Arial" w:eastAsia="黑体"/>
      <w:spacing w:val="6"/>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ind w:left="420" w:leftChars="200"/>
    </w:pPr>
  </w:style>
  <w:style w:type="paragraph" w:styleId="6">
    <w:name w:val="Normal Indent"/>
    <w:basedOn w:val="1"/>
    <w:next w:val="1"/>
    <w:link w:val="39"/>
    <w:qFormat/>
    <w:uiPriority w:val="0"/>
    <w:pPr>
      <w:ind w:firstLine="420" w:firstLineChars="200"/>
    </w:pPr>
    <w:rPr>
      <w:lang w:val="zh-CN"/>
    </w:rPr>
  </w:style>
  <w:style w:type="paragraph" w:styleId="14">
    <w:name w:val="Document Map"/>
    <w:basedOn w:val="1"/>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pPr>
      <w:spacing w:beforeLines="100" w:afterLines="100" w:line="400" w:lineRule="exact"/>
    </w:pPr>
    <w:rPr>
      <w:rFonts w:ascii="宋体" w:hAnsi="宋体"/>
      <w:sz w:val="24"/>
    </w:rPr>
  </w:style>
  <w:style w:type="paragraph" w:styleId="17">
    <w:name w:val="Body Text"/>
    <w:basedOn w:val="1"/>
    <w:qFormat/>
    <w:uiPriority w:val="0"/>
    <w:pPr>
      <w:spacing w:line="360" w:lineRule="auto"/>
    </w:pPr>
    <w:rPr>
      <w:rFonts w:eastAsia="黑体"/>
      <w:b/>
      <w:spacing w:val="6"/>
      <w:sz w:val="36"/>
      <w:szCs w:val="20"/>
    </w:rPr>
  </w:style>
  <w:style w:type="paragraph" w:styleId="18">
    <w:name w:val="Body Text Indent"/>
    <w:basedOn w:val="1"/>
    <w:qFormat/>
    <w:uiPriority w:val="0"/>
    <w:pPr>
      <w:ind w:left="281" w:leftChars="134"/>
    </w:pPr>
    <w:rPr>
      <w:sz w:val="28"/>
    </w:rPr>
  </w:style>
  <w:style w:type="paragraph" w:styleId="19">
    <w:name w:val="List Bullet 2"/>
    <w:basedOn w:val="1"/>
    <w:qFormat/>
    <w:uiPriority w:val="0"/>
    <w:pPr>
      <w:tabs>
        <w:tab w:val="left" w:pos="780"/>
      </w:tabs>
      <w:spacing w:line="460" w:lineRule="exact"/>
      <w:ind w:left="780" w:leftChars="200" w:hanging="360" w:hangingChars="200"/>
    </w:pPr>
    <w:rPr>
      <w:spacing w:val="12"/>
      <w:sz w:val="24"/>
      <w:szCs w:val="20"/>
    </w:rPr>
  </w:style>
  <w:style w:type="paragraph" w:styleId="20">
    <w:name w:val="Plain Text"/>
    <w:basedOn w:val="1"/>
    <w:link w:val="40"/>
    <w:qFormat/>
    <w:uiPriority w:val="99"/>
    <w:rPr>
      <w:rFonts w:ascii="宋体" w:hAnsi="Courier New"/>
      <w:szCs w:val="20"/>
    </w:rPr>
  </w:style>
  <w:style w:type="paragraph" w:styleId="21">
    <w:name w:val="Date"/>
    <w:basedOn w:val="1"/>
    <w:next w:val="1"/>
    <w:qFormat/>
    <w:uiPriority w:val="0"/>
    <w:pPr>
      <w:ind w:left="100" w:leftChars="2500"/>
    </w:pPr>
    <w:rPr>
      <w:sz w:val="24"/>
    </w:rPr>
  </w:style>
  <w:style w:type="paragraph" w:styleId="22">
    <w:name w:val="Body Text Indent 2"/>
    <w:basedOn w:val="1"/>
    <w:qFormat/>
    <w:uiPriority w:val="0"/>
    <w:pPr>
      <w:ind w:firstLine="538" w:firstLineChars="192"/>
    </w:pPr>
    <w:rPr>
      <w:color w:val="FF0000"/>
      <w:sz w:val="28"/>
    </w:rPr>
  </w:style>
  <w:style w:type="paragraph" w:styleId="23">
    <w:name w:val="Balloon Text"/>
    <w:basedOn w:val="1"/>
    <w:qFormat/>
    <w:uiPriority w:val="0"/>
    <w:rPr>
      <w:sz w:val="18"/>
      <w:szCs w:val="18"/>
    </w:rPr>
  </w:style>
  <w:style w:type="paragraph" w:styleId="24">
    <w:name w:val="footer"/>
    <w:basedOn w:val="1"/>
    <w:link w:val="41"/>
    <w:qFormat/>
    <w:uiPriority w:val="99"/>
    <w:pPr>
      <w:tabs>
        <w:tab w:val="center" w:pos="4153"/>
        <w:tab w:val="right" w:pos="8306"/>
      </w:tabs>
      <w:snapToGrid w:val="0"/>
      <w:jc w:val="lef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Signature"/>
    <w:basedOn w:val="1"/>
    <w:qFormat/>
    <w:uiPriority w:val="0"/>
    <w:pPr>
      <w:spacing w:line="460" w:lineRule="exact"/>
      <w:ind w:left="100" w:leftChars="2100" w:firstLine="200" w:firstLineChars="200"/>
    </w:pPr>
    <w:rPr>
      <w:spacing w:val="12"/>
      <w:sz w:val="24"/>
      <w:szCs w:val="20"/>
    </w:rPr>
  </w:style>
  <w:style w:type="paragraph" w:styleId="27">
    <w:name w:val="toc 1"/>
    <w:basedOn w:val="1"/>
    <w:next w:val="1"/>
    <w:qFormat/>
    <w:uiPriority w:val="0"/>
    <w:pPr>
      <w:spacing w:line="360" w:lineRule="exact"/>
    </w:pPr>
    <w:rPr>
      <w:rFonts w:ascii="Arial" w:hAnsi="Arial" w:cs="Arial"/>
      <w:snapToGrid w:val="0"/>
      <w:kern w:val="0"/>
    </w:rPr>
  </w:style>
  <w:style w:type="paragraph" w:styleId="28">
    <w:name w:val="Body Text Indent 3"/>
    <w:basedOn w:val="1"/>
    <w:qFormat/>
    <w:uiPriority w:val="0"/>
    <w:pPr>
      <w:spacing w:line="580" w:lineRule="exact"/>
      <w:ind w:firstLine="538" w:firstLineChars="192"/>
    </w:pPr>
    <w:rPr>
      <w:sz w:val="28"/>
    </w:rPr>
  </w:style>
  <w:style w:type="paragraph" w:styleId="29">
    <w:name w:val="toc 2"/>
    <w:basedOn w:val="1"/>
    <w:next w:val="1"/>
    <w:qFormat/>
    <w:uiPriority w:val="0"/>
    <w:pPr>
      <w:ind w:left="420" w:leftChars="200"/>
    </w:pPr>
  </w:style>
  <w:style w:type="paragraph" w:styleId="30">
    <w:name w:val="Body Text 2"/>
    <w:basedOn w:val="1"/>
    <w:qFormat/>
    <w:uiPriority w:val="0"/>
    <w:pPr>
      <w:snapToGrid w:val="0"/>
      <w:spacing w:line="400" w:lineRule="exact"/>
    </w:pPr>
    <w:rPr>
      <w:rFonts w:ascii="宋体" w:hAnsi="宋体"/>
      <w:b/>
      <w:bCs/>
      <w:color w:val="0000FF"/>
      <w:sz w:val="24"/>
    </w:rPr>
  </w:style>
  <w:style w:type="paragraph" w:styleId="31">
    <w:name w:val="Title"/>
    <w:basedOn w:val="1"/>
    <w:next w:val="1"/>
    <w:link w:val="43"/>
    <w:qFormat/>
    <w:uiPriority w:val="0"/>
    <w:pPr>
      <w:spacing w:before="240" w:after="60"/>
      <w:jc w:val="center"/>
      <w:outlineLvl w:val="0"/>
    </w:pPr>
    <w:rPr>
      <w:rFonts w:ascii="Cambria" w:hAnsi="Cambria"/>
      <w:b/>
      <w:bCs/>
      <w:kern w:val="0"/>
      <w:sz w:val="32"/>
      <w:szCs w:val="32"/>
      <w:lang w:val="zh-CN"/>
    </w:rPr>
  </w:style>
  <w:style w:type="paragraph" w:styleId="32">
    <w:name w:val="annotation subject"/>
    <w:basedOn w:val="15"/>
    <w:next w:val="15"/>
    <w:qFormat/>
    <w:uiPriority w:val="0"/>
    <w:rPr>
      <w:b/>
      <w:bCs/>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page number"/>
    <w:basedOn w:val="35"/>
    <w:qFormat/>
    <w:uiPriority w:val="0"/>
  </w:style>
  <w:style w:type="character" w:styleId="37">
    <w:name w:val="Hyperlink"/>
    <w:qFormat/>
    <w:uiPriority w:val="0"/>
    <w:rPr>
      <w:color w:val="000080"/>
      <w:u w:val="none"/>
    </w:rPr>
  </w:style>
  <w:style w:type="character" w:styleId="38">
    <w:name w:val="annotation reference"/>
    <w:qFormat/>
    <w:uiPriority w:val="0"/>
    <w:rPr>
      <w:sz w:val="21"/>
      <w:szCs w:val="21"/>
    </w:rPr>
  </w:style>
  <w:style w:type="character" w:customStyle="1" w:styleId="39">
    <w:name w:val="正文缩进 字符"/>
    <w:link w:val="6"/>
    <w:qFormat/>
    <w:uiPriority w:val="0"/>
    <w:rPr>
      <w:kern w:val="2"/>
      <w:sz w:val="21"/>
      <w:szCs w:val="24"/>
    </w:rPr>
  </w:style>
  <w:style w:type="character" w:customStyle="1" w:styleId="40">
    <w:name w:val="纯文本 字符"/>
    <w:link w:val="20"/>
    <w:qFormat/>
    <w:uiPriority w:val="99"/>
    <w:rPr>
      <w:rFonts w:ascii="宋体" w:hAnsi="Courier New" w:eastAsia="宋体"/>
      <w:kern w:val="2"/>
      <w:sz w:val="21"/>
      <w:lang w:val="en-US" w:eastAsia="zh-CN" w:bidi="ar-SA"/>
    </w:rPr>
  </w:style>
  <w:style w:type="character" w:customStyle="1" w:styleId="41">
    <w:name w:val="页脚 字符"/>
    <w:link w:val="24"/>
    <w:qFormat/>
    <w:uiPriority w:val="99"/>
    <w:rPr>
      <w:rFonts w:eastAsia="宋体"/>
      <w:kern w:val="2"/>
      <w:sz w:val="18"/>
      <w:szCs w:val="18"/>
      <w:lang w:val="en-US" w:eastAsia="zh-CN" w:bidi="ar-SA"/>
    </w:rPr>
  </w:style>
  <w:style w:type="character" w:customStyle="1" w:styleId="42">
    <w:name w:val="纯文本 Char Char Char1"/>
    <w:qFormat/>
    <w:uiPriority w:val="0"/>
    <w:rPr>
      <w:rFonts w:ascii="宋体" w:hAnsi="Courier New" w:eastAsia="宋体" w:cs="Courier New"/>
      <w:kern w:val="2"/>
      <w:sz w:val="21"/>
      <w:szCs w:val="21"/>
      <w:lang w:val="en-US" w:eastAsia="zh-CN" w:bidi="ar-SA"/>
    </w:rPr>
  </w:style>
  <w:style w:type="character" w:customStyle="1" w:styleId="43">
    <w:name w:val="标题 字符"/>
    <w:link w:val="31"/>
    <w:qFormat/>
    <w:uiPriority w:val="0"/>
    <w:rPr>
      <w:rFonts w:ascii="Cambria" w:hAnsi="Cambria" w:eastAsia="宋体"/>
      <w:b/>
      <w:bCs/>
      <w:sz w:val="32"/>
      <w:szCs w:val="32"/>
      <w:lang w:bidi="ar-SA"/>
    </w:rPr>
  </w:style>
  <w:style w:type="paragraph" w:customStyle="1" w:styleId="44">
    <w:name w:val="my title2"/>
    <w:basedOn w:val="1"/>
    <w:qFormat/>
    <w:uiPriority w:val="0"/>
    <w:pPr>
      <w:widowControl/>
    </w:pPr>
    <w:rPr>
      <w:rFonts w:eastAsia="仿宋_GB2312"/>
      <w:kern w:val="0"/>
      <w:sz w:val="24"/>
      <w:szCs w:val="20"/>
    </w:rPr>
  </w:style>
  <w:style w:type="paragraph" w:customStyle="1" w:styleId="45">
    <w:name w:val="样式1"/>
    <w:basedOn w:val="1"/>
    <w:qFormat/>
    <w:uiPriority w:val="0"/>
    <w:pPr>
      <w:spacing w:before="120" w:after="120" w:line="300" w:lineRule="auto"/>
    </w:pPr>
    <w:rPr>
      <w:rFonts w:ascii="宋体" w:hAnsi="宋体"/>
      <w:b/>
      <w:sz w:val="24"/>
      <w:szCs w:val="20"/>
    </w:rPr>
  </w:style>
  <w:style w:type="paragraph" w:styleId="46">
    <w:name w:val="List Paragraph"/>
    <w:basedOn w:val="1"/>
    <w:qFormat/>
    <w:uiPriority w:val="34"/>
    <w:pPr>
      <w:ind w:firstLine="420" w:firstLineChars="200"/>
    </w:pPr>
    <w:rPr>
      <w:rFonts w:ascii="Calibri" w:hAnsi="Calibri"/>
      <w:szCs w:val="22"/>
    </w:rPr>
  </w:style>
  <w:style w:type="paragraph" w:customStyle="1" w:styleId="47">
    <w:name w:val="标书标题2"/>
    <w:basedOn w:val="5"/>
    <w:qFormat/>
    <w:uiPriority w:val="0"/>
    <w:pPr>
      <w:keepLines w:val="0"/>
      <w:tabs>
        <w:tab w:val="left" w:pos="567"/>
      </w:tabs>
      <w:spacing w:beforeLines="50" w:line="300" w:lineRule="auto"/>
      <w:ind w:left="567" w:hanging="567"/>
      <w:jc w:val="left"/>
    </w:pPr>
    <w:rPr>
      <w:rFonts w:ascii="Arial Narrow" w:hAnsi="Arial Narrow" w:eastAsia="仿宋_GB2312"/>
      <w:sz w:val="28"/>
    </w:rPr>
  </w:style>
  <w:style w:type="paragraph" w:customStyle="1" w:styleId="48">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49">
    <w:name w:val="默认段落字体 Para Char Char Char Char Char Char Char"/>
    <w:basedOn w:val="1"/>
    <w:qFormat/>
    <w:uiPriority w:val="0"/>
    <w:rPr>
      <w:rFonts w:ascii="Tahoma" w:hAnsi="Tahoma"/>
      <w:sz w:val="24"/>
      <w:szCs w:val="20"/>
    </w:rPr>
  </w:style>
  <w:style w:type="paragraph" w:customStyle="1" w:styleId="50">
    <w:name w:val="节"/>
    <w:basedOn w:val="5"/>
    <w:qFormat/>
    <w:uiPriority w:val="0"/>
    <w:pPr>
      <w:widowControl w:val="0"/>
      <w:adjustRightInd/>
      <w:snapToGrid/>
      <w:spacing w:line="720" w:lineRule="exact"/>
    </w:pPr>
    <w:rPr>
      <w:rFonts w:eastAsia="黑体"/>
      <w:b w:val="0"/>
      <w:spacing w:val="14"/>
      <w:kern w:val="24"/>
    </w:rPr>
  </w:style>
  <w:style w:type="paragraph" w:customStyle="1" w:styleId="51">
    <w:name w:val="标书标题3"/>
    <w:basedOn w:val="7"/>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2">
    <w:name w:val="正文文字表格居中"/>
    <w:basedOn w:val="1"/>
    <w:next w:val="30"/>
    <w:qFormat/>
    <w:uiPriority w:val="0"/>
    <w:pPr>
      <w:spacing w:line="400" w:lineRule="exact"/>
      <w:jc w:val="center"/>
    </w:pPr>
    <w:rPr>
      <w:b/>
      <w:bCs/>
      <w:sz w:val="24"/>
    </w:rPr>
  </w:style>
  <w:style w:type="paragraph" w:customStyle="1" w:styleId="53">
    <w:name w:val="正文文本缩进1"/>
    <w:basedOn w:val="1"/>
    <w:qFormat/>
    <w:uiPriority w:val="0"/>
    <w:pPr>
      <w:spacing w:line="200" w:lineRule="exact"/>
      <w:ind w:firstLine="301"/>
    </w:pPr>
    <w:rPr>
      <w:rFonts w:ascii="宋体" w:hAnsi="Courier New"/>
      <w:spacing w:val="-4"/>
      <w:sz w:val="18"/>
      <w:szCs w:val="20"/>
    </w:rPr>
  </w:style>
  <w:style w:type="paragraph" w:customStyle="1" w:styleId="54">
    <w:name w:val="标书正文"/>
    <w:basedOn w:val="17"/>
    <w:qFormat/>
    <w:uiPriority w:val="0"/>
    <w:pPr>
      <w:adjustRightInd w:val="0"/>
      <w:snapToGrid w:val="0"/>
      <w:spacing w:line="400" w:lineRule="exact"/>
      <w:ind w:firstLine="1276"/>
    </w:pPr>
    <w:rPr>
      <w:rFonts w:ascii="宋体" w:hAnsi="宋体"/>
      <w:b w:val="0"/>
      <w:spacing w:val="0"/>
      <w:kern w:val="0"/>
      <w:sz w:val="24"/>
    </w:rPr>
  </w:style>
  <w:style w:type="paragraph" w:customStyle="1" w:styleId="55">
    <w:name w:val="样式 标题 3 + 非加粗 自动设置"/>
    <w:basedOn w:val="7"/>
    <w:qFormat/>
    <w:uiPriority w:val="0"/>
    <w:pPr>
      <w:spacing w:before="120" w:after="120" w:line="700" w:lineRule="exact"/>
      <w:jc w:val="left"/>
    </w:pPr>
    <w:rPr>
      <w:rFonts w:ascii="宋体" w:hAnsi="宋体"/>
      <w:b w:val="0"/>
      <w:bCs w:val="0"/>
      <w:spacing w:val="10"/>
      <w:kern w:val="24"/>
      <w:sz w:val="28"/>
    </w:rPr>
  </w:style>
  <w:style w:type="paragraph" w:customStyle="1" w:styleId="56">
    <w:name w:val="正文文字格式"/>
    <w:basedOn w:val="1"/>
    <w:qFormat/>
    <w:uiPriority w:val="0"/>
    <w:pPr>
      <w:spacing w:line="460" w:lineRule="exact"/>
      <w:ind w:firstLine="505"/>
      <w:jc w:val="left"/>
    </w:pPr>
    <w:rPr>
      <w:rFonts w:ascii="宋体"/>
      <w:kern w:val="24"/>
      <w:sz w:val="24"/>
      <w:szCs w:val="20"/>
    </w:rPr>
  </w:style>
  <w:style w:type="paragraph" w:customStyle="1" w:styleId="57">
    <w:name w:val="修订1"/>
    <w:qFormat/>
    <w:uiPriority w:val="99"/>
    <w:rPr>
      <w:rFonts w:ascii="Times New Roman" w:hAnsi="Times New Roman" w:eastAsia="宋体" w:cs="Times New Roman"/>
      <w:kern w:val="2"/>
      <w:sz w:val="21"/>
      <w:szCs w:val="24"/>
      <w:lang w:val="en-US" w:eastAsia="zh-CN" w:bidi="ar-SA"/>
    </w:rPr>
  </w:style>
  <w:style w:type="paragraph" w:customStyle="1" w:styleId="58">
    <w:name w:val="小节"/>
    <w:basedOn w:val="7"/>
    <w:qFormat/>
    <w:uiPriority w:val="0"/>
    <w:pPr>
      <w:spacing w:before="200" w:after="200" w:line="560" w:lineRule="exact"/>
      <w:jc w:val="left"/>
    </w:pPr>
    <w:rPr>
      <w:rFonts w:ascii="宋体" w:hAnsi="宋体"/>
      <w:bCs w:val="0"/>
      <w:color w:val="000000"/>
      <w:spacing w:val="10"/>
      <w:kern w:val="24"/>
      <w:sz w:val="28"/>
    </w:rPr>
  </w:style>
  <w:style w:type="paragraph" w:customStyle="1" w:styleId="59">
    <w:name w:val="样式 标题 3 + 红色"/>
    <w:basedOn w:val="7"/>
    <w:qFormat/>
    <w:uiPriority w:val="0"/>
    <w:pPr>
      <w:spacing w:before="120" w:after="120" w:line="700" w:lineRule="exact"/>
      <w:jc w:val="left"/>
    </w:pPr>
    <w:rPr>
      <w:rFonts w:ascii="宋体" w:hAnsi="宋体"/>
      <w:color w:val="FF0000"/>
      <w:spacing w:val="10"/>
      <w:kern w:val="24"/>
      <w:sz w:val="28"/>
    </w:rPr>
  </w:style>
  <w:style w:type="paragraph" w:customStyle="1" w:styleId="60">
    <w:name w:val="正文（项目编号）"/>
    <w:basedOn w:val="1"/>
    <w:qFormat/>
    <w:uiPriority w:val="0"/>
    <w:pPr>
      <w:numPr>
        <w:ilvl w:val="0"/>
        <w:numId w:val="2"/>
      </w:numPr>
      <w:spacing w:line="480" w:lineRule="exact"/>
    </w:pPr>
    <w:rPr>
      <w:bCs/>
      <w:sz w:val="28"/>
      <w:szCs w:val="20"/>
    </w:rPr>
  </w:style>
  <w:style w:type="paragraph" w:customStyle="1" w:styleId="61">
    <w:name w:val="PP 行"/>
    <w:basedOn w:val="26"/>
    <w:qFormat/>
    <w:uiPriority w:val="0"/>
  </w:style>
  <w:style w:type="paragraph" w:customStyle="1" w:styleId="62">
    <w:name w:val="简单回函地址"/>
    <w:basedOn w:val="1"/>
    <w:qFormat/>
    <w:uiPriority w:val="0"/>
    <w:pPr>
      <w:spacing w:line="460" w:lineRule="exact"/>
      <w:ind w:firstLine="200" w:firstLineChars="200"/>
    </w:pPr>
    <w:rPr>
      <w:spacing w:val="12"/>
      <w:sz w:val="24"/>
      <w:szCs w:val="20"/>
    </w:rPr>
  </w:style>
  <w:style w:type="paragraph" w:customStyle="1" w:styleId="63">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4">
    <w:name w:val="bullets (T)"/>
    <w:basedOn w:val="1"/>
    <w:qFormat/>
    <w:uiPriority w:val="0"/>
    <w:pPr>
      <w:numPr>
        <w:ilvl w:val="0"/>
        <w:numId w:val="3"/>
      </w:numPr>
      <w:spacing w:after="100" w:line="240" w:lineRule="exact"/>
    </w:pPr>
    <w:rPr>
      <w:snapToGrid w:val="0"/>
      <w:color w:val="000000"/>
      <w:sz w:val="20"/>
      <w:szCs w:val="20"/>
    </w:rPr>
  </w:style>
  <w:style w:type="paragraph" w:customStyle="1" w:styleId="65">
    <w:name w:val="标书标题4"/>
    <w:basedOn w:val="8"/>
    <w:qFormat/>
    <w:uiPriority w:val="0"/>
    <w:pPr>
      <w:keepLines w:val="0"/>
      <w:adjustRightInd w:val="0"/>
      <w:snapToGrid w:val="0"/>
      <w:spacing w:before="0" w:after="0" w:line="300" w:lineRule="auto"/>
      <w:jc w:val="both"/>
    </w:pPr>
    <w:rPr>
      <w:rFonts w:ascii="Arial Narrow" w:hAnsi="Arial Narrow" w:eastAsia="仿宋_GB2312"/>
      <w:spacing w:val="0"/>
      <w:kern w:val="0"/>
      <w:sz w:val="28"/>
    </w:rPr>
  </w:style>
  <w:style w:type="paragraph" w:customStyle="1" w:styleId="66">
    <w:name w:val="Char2"/>
    <w:basedOn w:val="1"/>
    <w:qFormat/>
    <w:uiPriority w:val="0"/>
    <w:rPr>
      <w:rFonts w:ascii="仿宋_GB2312" w:eastAsia="仿宋_GB2312"/>
      <w:b/>
      <w:sz w:val="32"/>
      <w:szCs w:val="32"/>
    </w:rPr>
  </w:style>
  <w:style w:type="paragraph" w:customStyle="1" w:styleId="67">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68">
    <w:name w:val="1"/>
    <w:basedOn w:val="1"/>
    <w:next w:val="18"/>
    <w:qFormat/>
    <w:uiPriority w:val="0"/>
    <w:pPr>
      <w:widowControl/>
      <w:autoSpaceDE w:val="0"/>
      <w:autoSpaceDN w:val="0"/>
      <w:spacing w:line="440" w:lineRule="atLeast"/>
      <w:ind w:firstLine="465" w:firstLineChars="200"/>
      <w:textAlignment w:val="bottom"/>
    </w:pPr>
    <w:rPr>
      <w:spacing w:val="12"/>
      <w:sz w:val="24"/>
      <w:szCs w:val="20"/>
    </w:rPr>
  </w:style>
  <w:style w:type="paragraph" w:customStyle="1" w:styleId="69">
    <w:name w:val="修订2"/>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浙江省烟草公司舟山市公司</Company>
  <Pages>4</Pages>
  <Words>384</Words>
  <Characters>2195</Characters>
  <Lines>18</Lines>
  <Paragraphs>5</Paragraphs>
  <TotalTime>1</TotalTime>
  <ScaleCrop>false</ScaleCrop>
  <LinksUpToDate>false</LinksUpToDate>
  <CharactersWithSpaces>2574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2021-09-07T02:17:00Z</dcterms:created>
  <dc:creator>浙江国际</dc:creator>
  <cp:lastModifiedBy>zjw</cp:lastModifiedBy>
  <cp:lastPrinted>2021-08-20T01:00:00Z</cp:lastPrinted>
  <dcterms:modified xsi:type="dcterms:W3CDTF">2022-09-07T14:34:18Z</dcterms:modified>
  <dc:title>浙江省烟草公司招标文件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6b7dad5c3b1f424c9f1f624067f378c6</vt:lpwstr>
  </property>
</Properties>
</file>